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2E66E">
      <w:pPr>
        <w:pStyle w:val="14"/>
        <w:rPr>
          <w:rFonts w:hint="eastAsia" w:ascii="宋体" w:hAnsi="宋体" w:eastAsia="宋体" w:cs="宋体"/>
          <w:b/>
          <w:color w:val="auto"/>
          <w:kern w:val="0"/>
          <w:sz w:val="32"/>
          <w:szCs w:val="32"/>
          <w:highlight w:val="none"/>
          <w:lang w:val="en-US" w:eastAsia="zh-CN" w:bidi="ar-SA"/>
        </w:rPr>
      </w:pPr>
      <w:bookmarkStart w:id="1" w:name="_GoBack"/>
      <w:r>
        <w:rPr>
          <w:rFonts w:hint="eastAsia" w:ascii="宋体" w:hAnsi="宋体" w:eastAsia="宋体" w:cs="宋体"/>
          <w:b/>
          <w:color w:val="auto"/>
          <w:kern w:val="0"/>
          <w:sz w:val="32"/>
          <w:szCs w:val="32"/>
          <w:highlight w:val="none"/>
          <w:lang w:val="en-US" w:eastAsia="zh-CN" w:bidi="ar-SA"/>
        </w:rPr>
        <w:t>附件：项目清单及技术要求、商务条款及评分细则</w:t>
      </w:r>
      <w:bookmarkEnd w:id="1"/>
    </w:p>
    <w:p w14:paraId="40529094">
      <w:pPr>
        <w:pStyle w:val="6"/>
        <w:rPr>
          <w:rFonts w:hint="eastAsia" w:ascii="宋体" w:hAnsi="宋体" w:eastAsia="宋体" w:cs="宋体"/>
          <w:color w:val="auto"/>
          <w:highlight w:val="none"/>
          <w:lang w:val="en-US" w:eastAsia="zh-CN"/>
        </w:rPr>
      </w:pPr>
      <w:bookmarkStart w:id="0" w:name="_Toc13080"/>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一</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采购清单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
        <w:gridCol w:w="738"/>
        <w:gridCol w:w="1160"/>
        <w:gridCol w:w="563"/>
        <w:gridCol w:w="612"/>
        <w:gridCol w:w="950"/>
        <w:gridCol w:w="1050"/>
        <w:gridCol w:w="4851"/>
      </w:tblGrid>
      <w:tr w14:paraId="68AC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17" w:type="dxa"/>
            <w:noWrap w:val="0"/>
            <w:vAlign w:val="center"/>
          </w:tcPr>
          <w:p w14:paraId="10B31156">
            <w:pPr>
              <w:snapToGrid w:val="0"/>
              <w:spacing w:line="240" w:lineRule="auto"/>
              <w:ind w:left="0" w:leftChars="0" w:right="0" w:rightChars="0" w:firstLine="0" w:firstLineChars="0"/>
              <w:jc w:val="center"/>
              <w:rPr>
                <w:rFonts w:hint="eastAsia" w:ascii="宋体" w:hAnsi="宋体" w:eastAsia="宋体" w:cs="宋体"/>
                <w:b/>
                <w:bCs/>
                <w:color w:val="auto"/>
                <w:sz w:val="22"/>
                <w:szCs w:val="22"/>
                <w:highlight w:val="none"/>
                <w:vertAlign w:val="baseline"/>
              </w:rPr>
            </w:pPr>
            <w:r>
              <w:rPr>
                <w:rFonts w:hint="eastAsia" w:ascii="宋体" w:hAnsi="宋体" w:eastAsia="宋体" w:cs="宋体"/>
                <w:b/>
                <w:bCs/>
                <w:color w:val="auto"/>
                <w:sz w:val="22"/>
                <w:szCs w:val="22"/>
                <w:highlight w:val="none"/>
                <w:vertAlign w:val="baseline"/>
              </w:rPr>
              <w:t>序号</w:t>
            </w:r>
          </w:p>
        </w:tc>
        <w:tc>
          <w:tcPr>
            <w:tcW w:w="738" w:type="dxa"/>
            <w:noWrap w:val="0"/>
            <w:vAlign w:val="center"/>
          </w:tcPr>
          <w:p w14:paraId="5A7686AF">
            <w:pPr>
              <w:tabs>
                <w:tab w:val="left" w:pos="1480"/>
              </w:tabs>
              <w:snapToGrid w:val="0"/>
              <w:spacing w:line="240" w:lineRule="auto"/>
              <w:ind w:left="0" w:leftChars="0" w:right="0" w:rightChars="0" w:firstLine="0" w:firstLineChars="0"/>
              <w:jc w:val="center"/>
              <w:rPr>
                <w:rFonts w:hint="eastAsia" w:ascii="宋体" w:hAnsi="宋体" w:eastAsia="宋体" w:cs="宋体"/>
                <w:b/>
                <w:bCs/>
                <w:color w:val="auto"/>
                <w:sz w:val="22"/>
                <w:szCs w:val="22"/>
                <w:highlight w:val="none"/>
                <w:vertAlign w:val="baseline"/>
              </w:rPr>
            </w:pPr>
            <w:r>
              <w:rPr>
                <w:rFonts w:hint="eastAsia" w:ascii="宋体" w:hAnsi="宋体" w:eastAsia="宋体" w:cs="宋体"/>
                <w:b/>
                <w:bCs/>
                <w:color w:val="auto"/>
                <w:sz w:val="22"/>
                <w:szCs w:val="22"/>
                <w:highlight w:val="none"/>
                <w:vertAlign w:val="baseline"/>
                <w:lang w:val="en-US" w:eastAsia="zh-CN"/>
              </w:rPr>
              <w:t>货物</w:t>
            </w:r>
            <w:r>
              <w:rPr>
                <w:rFonts w:hint="eastAsia" w:ascii="宋体" w:hAnsi="宋体" w:eastAsia="宋体" w:cs="宋体"/>
                <w:b/>
                <w:bCs/>
                <w:color w:val="auto"/>
                <w:sz w:val="22"/>
                <w:szCs w:val="22"/>
                <w:highlight w:val="none"/>
                <w:vertAlign w:val="baseline"/>
              </w:rPr>
              <w:t>名称</w:t>
            </w:r>
          </w:p>
        </w:tc>
        <w:tc>
          <w:tcPr>
            <w:tcW w:w="1160" w:type="dxa"/>
            <w:noWrap w:val="0"/>
            <w:vAlign w:val="center"/>
          </w:tcPr>
          <w:p w14:paraId="72138500">
            <w:pPr>
              <w:tabs>
                <w:tab w:val="left" w:pos="1900"/>
              </w:tabs>
              <w:snapToGrid w:val="0"/>
              <w:spacing w:line="240" w:lineRule="auto"/>
              <w:ind w:left="0" w:leftChars="0" w:right="0" w:rightChars="0" w:firstLine="0" w:firstLineChars="0"/>
              <w:jc w:val="center"/>
              <w:rPr>
                <w:rFonts w:hint="eastAsia" w:ascii="宋体" w:hAnsi="宋体" w:eastAsia="宋体" w:cs="宋体"/>
                <w:b/>
                <w:bCs/>
                <w:color w:val="auto"/>
                <w:sz w:val="22"/>
                <w:szCs w:val="22"/>
                <w:highlight w:val="none"/>
                <w:vertAlign w:val="baseline"/>
                <w:lang w:val="en-US" w:eastAsia="zh-CN"/>
              </w:rPr>
            </w:pPr>
            <w:r>
              <w:rPr>
                <w:rFonts w:hint="eastAsia" w:ascii="宋体" w:hAnsi="宋体" w:eastAsia="宋体" w:cs="宋体"/>
                <w:b/>
                <w:bCs/>
                <w:color w:val="auto"/>
                <w:sz w:val="22"/>
                <w:szCs w:val="22"/>
                <w:highlight w:val="none"/>
                <w:vertAlign w:val="baseline"/>
                <w:lang w:val="en-US" w:eastAsia="zh-CN"/>
              </w:rPr>
              <w:t>技术参数</w:t>
            </w:r>
          </w:p>
        </w:tc>
        <w:tc>
          <w:tcPr>
            <w:tcW w:w="563" w:type="dxa"/>
            <w:noWrap w:val="0"/>
            <w:vAlign w:val="center"/>
          </w:tcPr>
          <w:p w14:paraId="49D10970">
            <w:pPr>
              <w:tabs>
                <w:tab w:val="left" w:pos="2100"/>
              </w:tabs>
              <w:snapToGrid w:val="0"/>
              <w:spacing w:line="240" w:lineRule="auto"/>
              <w:ind w:left="0" w:leftChars="0" w:right="0" w:rightChars="0" w:firstLine="0" w:firstLineChars="0"/>
              <w:jc w:val="center"/>
              <w:rPr>
                <w:rFonts w:hint="eastAsia" w:ascii="宋体" w:hAnsi="宋体" w:eastAsia="宋体" w:cs="宋体"/>
                <w:b/>
                <w:bCs/>
                <w:color w:val="auto"/>
                <w:sz w:val="22"/>
                <w:szCs w:val="22"/>
                <w:highlight w:val="none"/>
                <w:vertAlign w:val="baseline"/>
              </w:rPr>
            </w:pPr>
            <w:r>
              <w:rPr>
                <w:rFonts w:hint="eastAsia" w:ascii="宋体" w:hAnsi="宋体" w:eastAsia="宋体" w:cs="宋体"/>
                <w:b/>
                <w:bCs/>
                <w:color w:val="auto"/>
                <w:sz w:val="22"/>
                <w:szCs w:val="22"/>
                <w:highlight w:val="none"/>
                <w:vertAlign w:val="baseline"/>
              </w:rPr>
              <w:t>单位</w:t>
            </w:r>
          </w:p>
        </w:tc>
        <w:tc>
          <w:tcPr>
            <w:tcW w:w="612" w:type="dxa"/>
            <w:noWrap w:val="0"/>
            <w:vAlign w:val="center"/>
          </w:tcPr>
          <w:p w14:paraId="7A8D1D75">
            <w:pPr>
              <w:snapToGrid w:val="0"/>
              <w:spacing w:line="240" w:lineRule="auto"/>
              <w:ind w:left="0" w:leftChars="0" w:right="0" w:rightChars="0" w:firstLine="0" w:firstLineChars="0"/>
              <w:jc w:val="center"/>
              <w:rPr>
                <w:rFonts w:hint="eastAsia" w:ascii="宋体" w:hAnsi="宋体" w:eastAsia="宋体" w:cs="宋体"/>
                <w:b/>
                <w:bCs/>
                <w:color w:val="auto"/>
                <w:sz w:val="22"/>
                <w:szCs w:val="22"/>
                <w:highlight w:val="none"/>
                <w:vertAlign w:val="baseline"/>
              </w:rPr>
            </w:pPr>
            <w:r>
              <w:rPr>
                <w:rFonts w:hint="eastAsia" w:ascii="宋体" w:hAnsi="宋体" w:eastAsia="宋体" w:cs="宋体"/>
                <w:b/>
                <w:bCs/>
                <w:color w:val="auto"/>
                <w:sz w:val="22"/>
                <w:szCs w:val="22"/>
                <w:highlight w:val="none"/>
                <w:vertAlign w:val="baseline"/>
                <w:lang w:val="en-US" w:eastAsia="zh-CN"/>
              </w:rPr>
              <w:t>数</w:t>
            </w:r>
            <w:r>
              <w:rPr>
                <w:rFonts w:hint="eastAsia" w:ascii="宋体" w:hAnsi="宋体" w:eastAsia="宋体" w:cs="宋体"/>
                <w:b/>
                <w:bCs/>
                <w:color w:val="auto"/>
                <w:sz w:val="22"/>
                <w:szCs w:val="22"/>
                <w:highlight w:val="none"/>
                <w:vertAlign w:val="baseline"/>
              </w:rPr>
              <w:t>量</w:t>
            </w:r>
          </w:p>
        </w:tc>
        <w:tc>
          <w:tcPr>
            <w:tcW w:w="950" w:type="dxa"/>
            <w:noWrap w:val="0"/>
            <w:vAlign w:val="center"/>
          </w:tcPr>
          <w:p w14:paraId="1CB7DFCB">
            <w:pPr>
              <w:snapToGrid w:val="0"/>
              <w:spacing w:line="240" w:lineRule="auto"/>
              <w:ind w:left="0" w:leftChars="0" w:right="0" w:rightChars="0" w:firstLine="0" w:firstLineChars="0"/>
              <w:jc w:val="center"/>
              <w:rPr>
                <w:rFonts w:hint="eastAsia" w:ascii="宋体" w:hAnsi="宋体" w:eastAsia="宋体" w:cs="宋体"/>
                <w:b/>
                <w:bCs/>
                <w:color w:val="auto"/>
                <w:sz w:val="22"/>
                <w:szCs w:val="22"/>
                <w:highlight w:val="none"/>
                <w:vertAlign w:val="baseline"/>
                <w:lang w:val="en-US" w:eastAsia="zh-CN"/>
              </w:rPr>
            </w:pPr>
            <w:r>
              <w:rPr>
                <w:rFonts w:hint="eastAsia" w:ascii="宋体" w:hAnsi="宋体" w:eastAsia="宋体" w:cs="宋体"/>
                <w:b/>
                <w:bCs/>
                <w:color w:val="auto"/>
                <w:sz w:val="22"/>
                <w:szCs w:val="22"/>
                <w:highlight w:val="none"/>
                <w:vertAlign w:val="baseline"/>
                <w:lang w:val="en-US" w:eastAsia="zh-CN"/>
              </w:rPr>
              <w:t>预算单价</w:t>
            </w:r>
          </w:p>
          <w:p w14:paraId="135375E8">
            <w:pPr>
              <w:snapToGrid w:val="0"/>
              <w:spacing w:line="240" w:lineRule="auto"/>
              <w:ind w:left="0" w:leftChars="0" w:right="0" w:rightChars="0" w:firstLine="0" w:firstLineChars="0"/>
              <w:jc w:val="center"/>
              <w:rPr>
                <w:rFonts w:hint="eastAsia" w:ascii="宋体" w:hAnsi="宋体" w:eastAsia="宋体" w:cs="宋体"/>
                <w:b/>
                <w:bCs/>
                <w:color w:val="auto"/>
                <w:sz w:val="22"/>
                <w:szCs w:val="22"/>
                <w:highlight w:val="none"/>
                <w:vertAlign w:val="baseline"/>
                <w:lang w:val="en-US" w:eastAsia="zh-CN"/>
              </w:rPr>
            </w:pPr>
            <w:r>
              <w:rPr>
                <w:rFonts w:hint="eastAsia" w:ascii="宋体" w:hAnsi="宋体" w:eastAsia="宋体" w:cs="宋体"/>
                <w:b/>
                <w:bCs/>
                <w:color w:val="auto"/>
                <w:sz w:val="22"/>
                <w:szCs w:val="22"/>
                <w:highlight w:val="none"/>
                <w:vertAlign w:val="baseline"/>
                <w:lang w:val="en-US" w:eastAsia="zh-CN"/>
              </w:rPr>
              <w:t>（元）</w:t>
            </w:r>
          </w:p>
        </w:tc>
        <w:tc>
          <w:tcPr>
            <w:tcW w:w="1050" w:type="dxa"/>
            <w:noWrap w:val="0"/>
            <w:vAlign w:val="center"/>
          </w:tcPr>
          <w:p w14:paraId="0429DEF9">
            <w:pPr>
              <w:snapToGrid w:val="0"/>
              <w:spacing w:line="240" w:lineRule="auto"/>
              <w:ind w:left="0" w:leftChars="0" w:right="0" w:rightChars="0" w:firstLine="0" w:firstLineChars="0"/>
              <w:jc w:val="center"/>
              <w:rPr>
                <w:rFonts w:hint="eastAsia" w:ascii="宋体" w:hAnsi="宋体" w:eastAsia="宋体" w:cs="宋体"/>
                <w:b/>
                <w:bCs/>
                <w:color w:val="auto"/>
                <w:sz w:val="22"/>
                <w:szCs w:val="22"/>
                <w:highlight w:val="none"/>
                <w:vertAlign w:val="baseline"/>
                <w:lang w:val="en-US" w:eastAsia="zh-CN"/>
              </w:rPr>
            </w:pPr>
            <w:r>
              <w:rPr>
                <w:rFonts w:hint="eastAsia" w:ascii="宋体" w:hAnsi="宋体" w:eastAsia="宋体" w:cs="宋体"/>
                <w:b/>
                <w:bCs/>
                <w:color w:val="auto"/>
                <w:sz w:val="22"/>
                <w:szCs w:val="22"/>
                <w:highlight w:val="none"/>
                <w:vertAlign w:val="baseline"/>
                <w:lang w:val="en-US" w:eastAsia="zh-CN"/>
              </w:rPr>
              <w:t>预算总价</w:t>
            </w:r>
          </w:p>
          <w:p w14:paraId="1B4ADEBD">
            <w:pPr>
              <w:snapToGrid w:val="0"/>
              <w:spacing w:line="240" w:lineRule="auto"/>
              <w:ind w:left="0" w:leftChars="0" w:right="0" w:rightChars="0" w:firstLine="0" w:firstLineChars="0"/>
              <w:jc w:val="center"/>
              <w:rPr>
                <w:rFonts w:hint="eastAsia" w:ascii="宋体" w:hAnsi="宋体" w:eastAsia="宋体" w:cs="宋体"/>
                <w:b/>
                <w:bCs/>
                <w:color w:val="auto"/>
                <w:sz w:val="22"/>
                <w:szCs w:val="22"/>
                <w:highlight w:val="none"/>
                <w:vertAlign w:val="baseline"/>
                <w:lang w:val="en-US" w:eastAsia="zh-CN"/>
              </w:rPr>
            </w:pPr>
            <w:r>
              <w:rPr>
                <w:rFonts w:hint="eastAsia" w:ascii="宋体" w:hAnsi="宋体" w:eastAsia="宋体" w:cs="宋体"/>
                <w:b/>
                <w:bCs/>
                <w:color w:val="auto"/>
                <w:sz w:val="22"/>
                <w:szCs w:val="22"/>
                <w:highlight w:val="none"/>
                <w:vertAlign w:val="baseline"/>
                <w:lang w:val="en-US" w:eastAsia="zh-CN"/>
              </w:rPr>
              <w:t>（元）</w:t>
            </w:r>
          </w:p>
        </w:tc>
        <w:tc>
          <w:tcPr>
            <w:tcW w:w="4851" w:type="dxa"/>
            <w:noWrap w:val="0"/>
            <w:vAlign w:val="center"/>
          </w:tcPr>
          <w:p w14:paraId="6BDDD044">
            <w:pPr>
              <w:snapToGrid w:val="0"/>
              <w:spacing w:line="240" w:lineRule="auto"/>
              <w:ind w:left="0" w:leftChars="0" w:right="0" w:rightChars="0" w:firstLine="0" w:firstLineChars="0"/>
              <w:jc w:val="center"/>
              <w:rPr>
                <w:rFonts w:hint="default" w:ascii="宋体" w:hAnsi="宋体" w:eastAsia="宋体" w:cs="宋体"/>
                <w:b/>
                <w:bCs/>
                <w:color w:val="auto"/>
                <w:sz w:val="22"/>
                <w:szCs w:val="22"/>
                <w:highlight w:val="none"/>
                <w:vertAlign w:val="baseline"/>
                <w:lang w:val="en-US" w:eastAsia="zh-CN"/>
              </w:rPr>
            </w:pPr>
            <w:r>
              <w:rPr>
                <w:rFonts w:hint="eastAsia" w:ascii="宋体" w:hAnsi="宋体" w:eastAsia="宋体" w:cs="宋体"/>
                <w:b/>
                <w:bCs/>
                <w:color w:val="auto"/>
                <w:sz w:val="22"/>
                <w:szCs w:val="22"/>
                <w:highlight w:val="none"/>
                <w:vertAlign w:val="baseline"/>
                <w:lang w:val="en-US" w:eastAsia="zh-CN"/>
              </w:rPr>
              <w:t>参考图片</w:t>
            </w:r>
          </w:p>
        </w:tc>
      </w:tr>
      <w:tr w14:paraId="7B3E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7" w:type="dxa"/>
            <w:noWrap w:val="0"/>
            <w:vAlign w:val="center"/>
          </w:tcPr>
          <w:p w14:paraId="57E2CF7C">
            <w:pPr>
              <w:snapToGrid w:val="0"/>
              <w:spacing w:line="240" w:lineRule="auto"/>
              <w:ind w:left="0" w:leftChars="0" w:right="0" w:rightChars="0" w:firstLine="0" w:firstLineChars="0"/>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1</w:t>
            </w:r>
          </w:p>
        </w:tc>
        <w:tc>
          <w:tcPr>
            <w:tcW w:w="738" w:type="dxa"/>
            <w:noWrap w:val="0"/>
            <w:vAlign w:val="center"/>
          </w:tcPr>
          <w:p w14:paraId="0928B9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18吨多功能抑尘车</w:t>
            </w:r>
            <w:r>
              <w:rPr>
                <w:rFonts w:hint="eastAsia" w:ascii="宋体" w:hAnsi="宋体" w:eastAsia="宋体" w:cs="Arial"/>
                <w:i w:val="0"/>
                <w:iCs w:val="0"/>
                <w:color w:val="000000"/>
                <w:kern w:val="0"/>
                <w:sz w:val="22"/>
                <w:szCs w:val="28"/>
                <w:u w:val="none"/>
                <w:lang w:val="en-US" w:eastAsia="zh-CN" w:bidi="ar"/>
              </w:rPr>
              <w:t>★</w:t>
            </w:r>
          </w:p>
        </w:tc>
        <w:tc>
          <w:tcPr>
            <w:tcW w:w="1160" w:type="dxa"/>
            <w:noWrap w:val="0"/>
            <w:vAlign w:val="center"/>
          </w:tcPr>
          <w:p w14:paraId="3C2F79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详见（二）技术参数要求</w:t>
            </w:r>
          </w:p>
        </w:tc>
        <w:tc>
          <w:tcPr>
            <w:tcW w:w="563" w:type="dxa"/>
            <w:noWrap w:val="0"/>
            <w:vAlign w:val="center"/>
          </w:tcPr>
          <w:p w14:paraId="5C15C9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辆</w:t>
            </w:r>
          </w:p>
        </w:tc>
        <w:tc>
          <w:tcPr>
            <w:tcW w:w="612" w:type="dxa"/>
            <w:noWrap w:val="0"/>
            <w:vAlign w:val="center"/>
          </w:tcPr>
          <w:p w14:paraId="3FA2BF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1</w:t>
            </w:r>
          </w:p>
        </w:tc>
        <w:tc>
          <w:tcPr>
            <w:tcW w:w="950" w:type="dxa"/>
            <w:noWrap w:val="0"/>
            <w:vAlign w:val="center"/>
          </w:tcPr>
          <w:p w14:paraId="61C62CC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498000</w:t>
            </w:r>
          </w:p>
        </w:tc>
        <w:tc>
          <w:tcPr>
            <w:tcW w:w="1050" w:type="dxa"/>
            <w:noWrap w:val="0"/>
            <w:vAlign w:val="center"/>
          </w:tcPr>
          <w:p w14:paraId="3944FCE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498000</w:t>
            </w:r>
          </w:p>
        </w:tc>
        <w:tc>
          <w:tcPr>
            <w:tcW w:w="4851" w:type="dxa"/>
            <w:noWrap w:val="0"/>
            <w:vAlign w:val="center"/>
          </w:tcPr>
          <w:p w14:paraId="35E2D2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ascii="宋体" w:eastAsia="宋体"/>
                <w:sz w:val="22"/>
              </w:rPr>
              <w:drawing>
                <wp:inline distT="0" distB="0" distL="114300" distR="114300">
                  <wp:extent cx="2811145" cy="1751965"/>
                  <wp:effectExtent l="0" t="0" r="825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811145" cy="1751965"/>
                          </a:xfrm>
                          <a:prstGeom prst="rect">
                            <a:avLst/>
                          </a:prstGeom>
                          <a:noFill/>
                          <a:ln>
                            <a:noFill/>
                          </a:ln>
                        </pic:spPr>
                      </pic:pic>
                    </a:graphicData>
                  </a:graphic>
                </wp:inline>
              </w:drawing>
            </w:r>
          </w:p>
        </w:tc>
      </w:tr>
      <w:tr w14:paraId="0CAB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7" w:type="dxa"/>
            <w:noWrap w:val="0"/>
            <w:vAlign w:val="center"/>
          </w:tcPr>
          <w:p w14:paraId="0BBE3AF5">
            <w:pPr>
              <w:snapToGrid w:val="0"/>
              <w:spacing w:line="240" w:lineRule="auto"/>
              <w:ind w:left="0" w:leftChars="0" w:right="0" w:rightChars="0" w:firstLine="0" w:firstLineChars="0"/>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2</w:t>
            </w:r>
          </w:p>
        </w:tc>
        <w:tc>
          <w:tcPr>
            <w:tcW w:w="738" w:type="dxa"/>
            <w:noWrap w:val="0"/>
            <w:vAlign w:val="center"/>
          </w:tcPr>
          <w:p w14:paraId="08A263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10 吨级洒水喷雾车</w:t>
            </w:r>
          </w:p>
        </w:tc>
        <w:tc>
          <w:tcPr>
            <w:tcW w:w="1160" w:type="dxa"/>
            <w:noWrap w:val="0"/>
            <w:vAlign w:val="center"/>
          </w:tcPr>
          <w:p w14:paraId="43D651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b w:val="0"/>
                <w:bCs/>
                <w:color w:val="auto"/>
                <w:sz w:val="22"/>
                <w:szCs w:val="22"/>
                <w:highlight w:val="none"/>
                <w:vertAlign w:val="baseline"/>
                <w:lang w:val="en-US" w:eastAsia="zh-CN"/>
              </w:rPr>
              <w:t>详见（二）技术参数要求</w:t>
            </w:r>
          </w:p>
        </w:tc>
        <w:tc>
          <w:tcPr>
            <w:tcW w:w="563" w:type="dxa"/>
            <w:noWrap w:val="0"/>
            <w:vAlign w:val="center"/>
          </w:tcPr>
          <w:p w14:paraId="1F5145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辆</w:t>
            </w:r>
          </w:p>
        </w:tc>
        <w:tc>
          <w:tcPr>
            <w:tcW w:w="612" w:type="dxa"/>
            <w:noWrap w:val="0"/>
            <w:vAlign w:val="center"/>
          </w:tcPr>
          <w:p w14:paraId="5AD18C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1</w:t>
            </w:r>
          </w:p>
        </w:tc>
        <w:tc>
          <w:tcPr>
            <w:tcW w:w="950" w:type="dxa"/>
            <w:noWrap w:val="0"/>
            <w:vAlign w:val="center"/>
          </w:tcPr>
          <w:p w14:paraId="7A15FA1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189000</w:t>
            </w:r>
          </w:p>
        </w:tc>
        <w:tc>
          <w:tcPr>
            <w:tcW w:w="1050" w:type="dxa"/>
            <w:noWrap w:val="0"/>
            <w:vAlign w:val="center"/>
          </w:tcPr>
          <w:p w14:paraId="68833F5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189000</w:t>
            </w:r>
          </w:p>
        </w:tc>
        <w:tc>
          <w:tcPr>
            <w:tcW w:w="4851" w:type="dxa"/>
            <w:noWrap w:val="0"/>
            <w:vAlign w:val="center"/>
          </w:tcPr>
          <w:p w14:paraId="2E5B8B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ascii="宋体" w:eastAsia="宋体"/>
                <w:sz w:val="22"/>
              </w:rPr>
              <w:drawing>
                <wp:inline distT="0" distB="0" distL="114300" distR="114300">
                  <wp:extent cx="2821305" cy="1527810"/>
                  <wp:effectExtent l="0" t="0" r="17145" b="1524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2821305" cy="1527810"/>
                          </a:xfrm>
                          <a:prstGeom prst="rect">
                            <a:avLst/>
                          </a:prstGeom>
                          <a:noFill/>
                          <a:ln>
                            <a:noFill/>
                          </a:ln>
                        </pic:spPr>
                      </pic:pic>
                    </a:graphicData>
                  </a:graphic>
                </wp:inline>
              </w:drawing>
            </w:r>
          </w:p>
        </w:tc>
      </w:tr>
      <w:tr w14:paraId="4D10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7" w:type="dxa"/>
            <w:noWrap w:val="0"/>
            <w:vAlign w:val="center"/>
          </w:tcPr>
          <w:p w14:paraId="63EC3FE4">
            <w:pPr>
              <w:snapToGrid w:val="0"/>
              <w:spacing w:line="240" w:lineRule="auto"/>
              <w:ind w:left="0" w:leftChars="0" w:right="0" w:rightChars="0" w:firstLine="0" w:firstLineChars="0"/>
              <w:jc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3</w:t>
            </w:r>
          </w:p>
        </w:tc>
        <w:tc>
          <w:tcPr>
            <w:tcW w:w="738" w:type="dxa"/>
            <w:noWrap w:val="0"/>
            <w:vAlign w:val="center"/>
          </w:tcPr>
          <w:p w14:paraId="74F825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三轮高压冲洗车</w:t>
            </w:r>
          </w:p>
        </w:tc>
        <w:tc>
          <w:tcPr>
            <w:tcW w:w="1160" w:type="dxa"/>
            <w:noWrap w:val="0"/>
            <w:vAlign w:val="center"/>
          </w:tcPr>
          <w:p w14:paraId="2A49D4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b w:val="0"/>
                <w:bCs/>
                <w:color w:val="auto"/>
                <w:sz w:val="22"/>
                <w:szCs w:val="22"/>
                <w:highlight w:val="none"/>
                <w:vertAlign w:val="baseline"/>
                <w:lang w:val="en-US" w:eastAsia="zh-CN"/>
              </w:rPr>
              <w:t>详见（二）技术参数要求</w:t>
            </w:r>
          </w:p>
        </w:tc>
        <w:tc>
          <w:tcPr>
            <w:tcW w:w="563" w:type="dxa"/>
            <w:noWrap w:val="0"/>
            <w:vAlign w:val="center"/>
          </w:tcPr>
          <w:p w14:paraId="721D1C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辆</w:t>
            </w:r>
          </w:p>
        </w:tc>
        <w:tc>
          <w:tcPr>
            <w:tcW w:w="612" w:type="dxa"/>
            <w:noWrap w:val="0"/>
            <w:vAlign w:val="center"/>
          </w:tcPr>
          <w:p w14:paraId="73ADE4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color w:val="auto"/>
                <w:sz w:val="22"/>
                <w:szCs w:val="22"/>
                <w:highlight w:val="none"/>
                <w:vertAlign w:val="baseline"/>
                <w:lang w:val="en-US" w:eastAsia="zh-CN"/>
              </w:rPr>
            </w:pPr>
            <w:r>
              <w:rPr>
                <w:rFonts w:hint="eastAsia" w:ascii="宋体" w:hAnsi="宋体" w:eastAsia="宋体" w:cs="宋体"/>
                <w:b w:val="0"/>
                <w:bCs/>
                <w:color w:val="auto"/>
                <w:sz w:val="22"/>
                <w:szCs w:val="22"/>
                <w:highlight w:val="none"/>
                <w:vertAlign w:val="baseline"/>
                <w:lang w:val="en-US" w:eastAsia="zh-CN"/>
              </w:rPr>
              <w:t>5</w:t>
            </w:r>
          </w:p>
        </w:tc>
        <w:tc>
          <w:tcPr>
            <w:tcW w:w="950" w:type="dxa"/>
            <w:noWrap w:val="0"/>
            <w:vAlign w:val="center"/>
          </w:tcPr>
          <w:p w14:paraId="08B196A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24800</w:t>
            </w:r>
          </w:p>
        </w:tc>
        <w:tc>
          <w:tcPr>
            <w:tcW w:w="1050" w:type="dxa"/>
            <w:noWrap w:val="0"/>
            <w:vAlign w:val="center"/>
          </w:tcPr>
          <w:p w14:paraId="79B9D27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val="0"/>
                <w:bCs/>
                <w:color w:val="auto"/>
                <w:sz w:val="22"/>
                <w:szCs w:val="22"/>
                <w:highlight w:val="none"/>
                <w:vertAlign w:val="baseline"/>
              </w:rPr>
            </w:pPr>
            <w:r>
              <w:rPr>
                <w:rFonts w:hint="eastAsia" w:ascii="宋体" w:hAnsi="宋体" w:eastAsia="宋体" w:cs="宋体"/>
                <w:i w:val="0"/>
                <w:iCs w:val="0"/>
                <w:color w:val="auto"/>
                <w:kern w:val="0"/>
                <w:sz w:val="22"/>
                <w:szCs w:val="22"/>
                <w:highlight w:val="none"/>
                <w:u w:val="none"/>
                <w:lang w:val="en-US" w:eastAsia="zh-CN" w:bidi="ar"/>
              </w:rPr>
              <w:t>124000</w:t>
            </w:r>
          </w:p>
        </w:tc>
        <w:tc>
          <w:tcPr>
            <w:tcW w:w="4851" w:type="dxa"/>
            <w:noWrap w:val="0"/>
            <w:vAlign w:val="center"/>
          </w:tcPr>
          <w:p w14:paraId="3B9881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ascii="宋体" w:eastAsia="宋体"/>
                <w:sz w:val="22"/>
              </w:rPr>
              <w:drawing>
                <wp:inline distT="0" distB="0" distL="114300" distR="114300">
                  <wp:extent cx="2815590" cy="1828165"/>
                  <wp:effectExtent l="0" t="0" r="3810" b="63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8"/>
                          <a:stretch>
                            <a:fillRect/>
                          </a:stretch>
                        </pic:blipFill>
                        <pic:spPr>
                          <a:xfrm>
                            <a:off x="0" y="0"/>
                            <a:ext cx="2815590" cy="1828165"/>
                          </a:xfrm>
                          <a:prstGeom prst="rect">
                            <a:avLst/>
                          </a:prstGeom>
                          <a:noFill/>
                          <a:ln>
                            <a:noFill/>
                          </a:ln>
                        </pic:spPr>
                      </pic:pic>
                    </a:graphicData>
                  </a:graphic>
                </wp:inline>
              </w:drawing>
            </w:r>
          </w:p>
        </w:tc>
      </w:tr>
    </w:tbl>
    <w:p w14:paraId="5BC9F955">
      <w:pPr>
        <w:pStyle w:val="29"/>
        <w:tabs>
          <w:tab w:val="left" w:pos="9781"/>
        </w:tabs>
        <w:spacing w:before="0" w:line="360" w:lineRule="auto"/>
        <w:rPr>
          <w:rFonts w:hint="eastAsia" w:ascii="宋体" w:hAnsi="宋体" w:eastAsia="Arial"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注：1、投标人投标报价的单价</w:t>
      </w:r>
      <w:r>
        <w:rPr>
          <w:rFonts w:hint="eastAsia" w:cs="宋体"/>
          <w:b w:val="0"/>
          <w:bCs w:val="0"/>
          <w:sz w:val="24"/>
          <w:szCs w:val="24"/>
          <w:highlight w:val="none"/>
          <w:lang w:val="en-US" w:eastAsia="zh-CN"/>
        </w:rPr>
        <w:t>和总价</w:t>
      </w:r>
      <w:r>
        <w:rPr>
          <w:rFonts w:hint="eastAsia" w:ascii="宋体" w:hAnsi="宋体" w:cs="宋体"/>
          <w:b w:val="0"/>
          <w:bCs w:val="0"/>
          <w:sz w:val="24"/>
          <w:szCs w:val="24"/>
          <w:highlight w:val="none"/>
          <w:lang w:val="zh-CN" w:eastAsia="zh-CN"/>
        </w:rPr>
        <w:t>不可超过</w:t>
      </w:r>
      <w:r>
        <w:rPr>
          <w:rFonts w:hint="eastAsia" w:cs="宋体"/>
          <w:b w:val="0"/>
          <w:bCs w:val="0"/>
          <w:color w:val="FF0000"/>
          <w:sz w:val="24"/>
          <w:szCs w:val="24"/>
          <w:highlight w:val="none"/>
          <w:lang w:val="en-US" w:eastAsia="zh-CN"/>
        </w:rPr>
        <w:t>预算</w:t>
      </w:r>
      <w:r>
        <w:rPr>
          <w:rFonts w:hint="eastAsia" w:ascii="宋体" w:hAnsi="宋体" w:cs="宋体"/>
          <w:b w:val="0"/>
          <w:bCs w:val="0"/>
          <w:color w:val="FF0000"/>
          <w:sz w:val="24"/>
          <w:szCs w:val="24"/>
          <w:highlight w:val="none"/>
          <w:lang w:val="en-US" w:eastAsia="zh-CN"/>
        </w:rPr>
        <w:t>单价</w:t>
      </w:r>
      <w:r>
        <w:rPr>
          <w:rFonts w:hint="eastAsia" w:cs="宋体"/>
          <w:b w:val="0"/>
          <w:bCs w:val="0"/>
          <w:color w:val="FF0000"/>
          <w:sz w:val="24"/>
          <w:szCs w:val="24"/>
          <w:highlight w:val="none"/>
          <w:lang w:val="en-US" w:eastAsia="zh-CN"/>
        </w:rPr>
        <w:t>及总价</w:t>
      </w:r>
      <w:r>
        <w:rPr>
          <w:rFonts w:hint="eastAsia" w:ascii="宋体" w:hAnsi="宋体" w:cs="宋体"/>
          <w:b w:val="0"/>
          <w:bCs w:val="0"/>
          <w:sz w:val="24"/>
          <w:szCs w:val="24"/>
          <w:highlight w:val="none"/>
          <w:lang w:val="zh-CN" w:eastAsia="zh-CN"/>
        </w:rPr>
        <w:t>，否则作无效投标处理。</w:t>
      </w:r>
      <w:r>
        <w:rPr>
          <w:rFonts w:hint="eastAsia" w:cs="宋体"/>
          <w:b w:val="0"/>
          <w:bCs w:val="0"/>
          <w:sz w:val="24"/>
          <w:szCs w:val="24"/>
          <w:highlight w:val="none"/>
          <w:lang w:val="en-US" w:eastAsia="zh-CN"/>
        </w:rPr>
        <w:t>2、</w:t>
      </w:r>
      <w:r>
        <w:rPr>
          <w:rFonts w:hint="eastAsia" w:ascii="宋体" w:hAnsi="宋体" w:eastAsia="宋体" w:cs="Arial"/>
          <w:sz w:val="24"/>
          <w:szCs w:val="24"/>
          <w:lang w:val="en-US" w:eastAsia="zh-CN"/>
        </w:rPr>
        <w:t>产</w:t>
      </w:r>
      <w:r>
        <w:rPr>
          <w:rFonts w:hint="eastAsia" w:ascii="宋体" w:hAnsi="宋体" w:eastAsia="Arial" w:cs="宋体"/>
          <w:b w:val="0"/>
          <w:bCs w:val="0"/>
          <w:sz w:val="24"/>
          <w:szCs w:val="24"/>
          <w:highlight w:val="none"/>
          <w:lang w:val="en-US" w:eastAsia="zh-CN"/>
        </w:rPr>
        <w:t>品清单中带“★”的为核心产品</w:t>
      </w:r>
    </w:p>
    <w:p w14:paraId="15112C31">
      <w:pPr>
        <w:spacing w:line="360" w:lineRule="auto"/>
        <w:ind w:firstLine="422" w:firstLineChars="175"/>
        <w:rPr>
          <w:rFonts w:hint="eastAsia" w:ascii="宋体" w:hAnsi="宋体" w:cs="宋体"/>
          <w:b/>
          <w:bCs/>
          <w:sz w:val="24"/>
          <w:szCs w:val="24"/>
          <w:highlight w:val="none"/>
          <w:lang w:val="zh-CN" w:eastAsia="zh-CN"/>
        </w:rPr>
      </w:pPr>
    </w:p>
    <w:p w14:paraId="452DF002">
      <w:pPr>
        <w:numPr>
          <w:ilvl w:val="0"/>
          <w:numId w:val="1"/>
        </w:numPr>
        <w:snapToGrid w:val="0"/>
        <w:spacing w:line="240" w:lineRule="auto"/>
        <w:ind w:right="519" w:rightChars="247"/>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val="en-US" w:eastAsia="zh-CN"/>
        </w:rPr>
        <w:t>技术参数要求</w:t>
      </w:r>
    </w:p>
    <w:p w14:paraId="071CBA07">
      <w:pPr>
        <w:spacing w:line="360" w:lineRule="auto"/>
        <w:ind w:firstLine="422" w:firstLineChars="175"/>
        <w:rPr>
          <w:rFonts w:hint="eastAsia" w:ascii="宋体" w:hAnsi="宋体" w:cs="宋体"/>
          <w:b/>
          <w:bCs/>
          <w:sz w:val="24"/>
          <w:szCs w:val="24"/>
          <w:highlight w:val="none"/>
          <w:lang w:val="zh-CN" w:eastAsia="zh-CN"/>
        </w:rPr>
      </w:pPr>
      <w:r>
        <w:rPr>
          <w:rFonts w:hint="eastAsia" w:ascii="宋体" w:hAnsi="宋体" w:cs="宋体"/>
          <w:b/>
          <w:bCs/>
          <w:sz w:val="24"/>
          <w:szCs w:val="24"/>
          <w:highlight w:val="none"/>
          <w:lang w:val="en-US" w:eastAsia="zh-CN"/>
        </w:rPr>
        <w:t>1、</w:t>
      </w:r>
      <w:r>
        <w:rPr>
          <w:rFonts w:hint="eastAsia" w:ascii="宋体" w:hAnsi="宋体" w:cs="宋体"/>
          <w:b/>
          <w:bCs/>
          <w:sz w:val="24"/>
          <w:szCs w:val="24"/>
          <w:highlight w:val="none"/>
          <w:lang w:val="zh-CN" w:eastAsia="zh-CN"/>
        </w:rPr>
        <w:t>18吨多功能抑尘车</w:t>
      </w:r>
    </w:p>
    <w:p w14:paraId="42FA1C51">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1.整车总质量≥18000kg；额定载重≥7400kg；整备载重≥8200kg；</w:t>
      </w:r>
    </w:p>
    <w:p w14:paraId="3C7B56C7">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2.轴距≥4500mm</w:t>
      </w:r>
    </w:p>
    <w:p w14:paraId="0C239DC9">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3.排量≥4500ml，功率≥169kW，</w:t>
      </w:r>
    </w:p>
    <w:p w14:paraId="3E104F30">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4.外形尺寸（长×宽×高）（mm）：≥9100×2480×3465（含雾炮）；</w:t>
      </w:r>
    </w:p>
    <w:p w14:paraId="67A0F3FD">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5.燃油：柴油，国六二类载货汽车底盘，原车配备冷暖空调；须具备公告资质；最高车速（km/h）≥89</w:t>
      </w:r>
    </w:p>
    <w:p w14:paraId="2D8EE9D1">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6.罐体有效容积≥9.5m³, 采用优质碳钢（Q235B）或更优材质制造，罐体钢板厚度≥3.5mm，封头厚度≥4mm；</w:t>
      </w:r>
    </w:p>
    <w:p w14:paraId="51FE5898">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7.变速箱 6</w:t>
      </w:r>
      <w:r>
        <w:rPr>
          <w:rFonts w:hint="eastAsia" w:ascii="宋体" w:hAnsi="宋体" w:cs="宋体"/>
          <w:b w:val="0"/>
          <w:bCs w:val="0"/>
          <w:sz w:val="24"/>
          <w:szCs w:val="24"/>
          <w:highlight w:val="none"/>
          <w:lang w:val="en-US" w:eastAsia="zh-CN"/>
        </w:rPr>
        <w:t>档</w:t>
      </w:r>
      <w:r>
        <w:rPr>
          <w:rFonts w:hint="eastAsia" w:ascii="宋体" w:hAnsi="宋体" w:cs="宋体"/>
          <w:b w:val="0"/>
          <w:bCs w:val="0"/>
          <w:sz w:val="24"/>
          <w:szCs w:val="24"/>
          <w:highlight w:val="none"/>
          <w:lang w:val="zh-CN" w:eastAsia="zh-CN"/>
        </w:rPr>
        <w:t>及以上手动变速箱，换挡顺畅；</w:t>
      </w:r>
    </w:p>
    <w:p w14:paraId="0C227BA1">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8.采用离心式风机，风机功率≥</w:t>
      </w:r>
      <w:r>
        <w:rPr>
          <w:rFonts w:hint="eastAsia" w:ascii="宋体" w:hAnsi="宋体" w:cs="宋体"/>
          <w:b w:val="0"/>
          <w:bCs w:val="0"/>
          <w:sz w:val="24"/>
          <w:szCs w:val="24"/>
          <w:highlight w:val="none"/>
          <w:lang w:val="en-US" w:eastAsia="zh-CN"/>
        </w:rPr>
        <w:t>45</w:t>
      </w:r>
      <w:r>
        <w:rPr>
          <w:rFonts w:hint="eastAsia" w:ascii="宋体" w:hAnsi="宋体" w:cs="宋体"/>
          <w:b w:val="0"/>
          <w:bCs w:val="0"/>
          <w:sz w:val="24"/>
          <w:szCs w:val="24"/>
          <w:highlight w:val="none"/>
          <w:lang w:val="zh-CN" w:eastAsia="zh-CN"/>
        </w:rPr>
        <w:t>kW，风筒直径≥1800mm ，风量大、射程远、噪声低；采用液压驱动低噪叶轮风炮，喷雾距离≥100m 最大喷雾流量170L/min。</w:t>
      </w:r>
    </w:p>
    <w:p w14:paraId="325762A1">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9.喷雾俯仰角度-10°~45°电动调节，水平旋转角度±180°。</w:t>
      </w:r>
    </w:p>
    <w:p w14:paraId="7E7E1BD1">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10.配备倒车影像+倒车雷达，倒车时实时显示后方画面，距离障碍物过近自动报警。</w:t>
      </w:r>
    </w:p>
    <w:p w14:paraId="170C4721">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1</w:t>
      </w:r>
      <w:r>
        <w:rPr>
          <w:rFonts w:hint="eastAsia" w:ascii="宋体" w:hAnsi="宋体" w:cs="宋体"/>
          <w:b w:val="0"/>
          <w:bCs w:val="0"/>
          <w:sz w:val="24"/>
          <w:szCs w:val="24"/>
          <w:highlight w:val="none"/>
          <w:lang w:val="en-US" w:eastAsia="zh-CN"/>
        </w:rPr>
        <w:t>1</w:t>
      </w:r>
      <w:r>
        <w:rPr>
          <w:rFonts w:hint="eastAsia" w:ascii="宋体" w:hAnsi="宋体" w:cs="宋体"/>
          <w:b w:val="0"/>
          <w:bCs w:val="0"/>
          <w:sz w:val="24"/>
          <w:szCs w:val="24"/>
          <w:highlight w:val="none"/>
          <w:lang w:val="zh-CN" w:eastAsia="zh-CN"/>
        </w:rPr>
        <w:t>.最大水平喷雾射程≥100 米，最大垂直喷射高度≥60 米，覆盖范围广。</w:t>
      </w:r>
    </w:p>
    <w:p w14:paraId="268C124D">
      <w:pPr>
        <w:spacing w:line="360" w:lineRule="auto"/>
        <w:ind w:firstLine="422" w:firstLineChars="175"/>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w:t>
      </w:r>
      <w:r>
        <w:rPr>
          <w:rFonts w:ascii="Segoe UI" w:hAnsi="Segoe UI" w:eastAsia="Segoe UI" w:cs="Segoe UI"/>
          <w:b/>
          <w:bCs/>
          <w:i w:val="0"/>
          <w:iCs w:val="0"/>
          <w:caps w:val="0"/>
          <w:color w:val="FF0000"/>
          <w:spacing w:val="0"/>
          <w:sz w:val="24"/>
          <w:szCs w:val="24"/>
          <w:shd w:val="clear" w:color="auto" w:fill="FFFFFF"/>
        </w:rPr>
        <w:t>投标人所投车辆</w:t>
      </w:r>
      <w:r>
        <w:rPr>
          <w:rFonts w:hint="default" w:ascii="Segoe UI" w:hAnsi="Segoe UI" w:eastAsia="Segoe UI" w:cs="Segoe UI"/>
          <w:b/>
          <w:bCs/>
          <w:i w:val="0"/>
          <w:iCs w:val="0"/>
          <w:caps w:val="0"/>
          <w:color w:val="FF0000"/>
          <w:spacing w:val="0"/>
          <w:sz w:val="24"/>
          <w:szCs w:val="24"/>
          <w:shd w:val="clear" w:color="auto" w:fill="FFFFFF"/>
        </w:rPr>
        <w:t>必须具有中国国家强制性产品认证证书（3C认证）</w:t>
      </w:r>
      <w:r>
        <w:rPr>
          <w:rFonts w:hint="eastAsia" w:ascii="Segoe UI" w:hAnsi="Segoe UI" w:eastAsia="宋体" w:cs="Segoe UI"/>
          <w:b/>
          <w:bCs/>
          <w:i w:val="0"/>
          <w:iCs w:val="0"/>
          <w:caps w:val="0"/>
          <w:color w:val="FF0000"/>
          <w:spacing w:val="0"/>
          <w:sz w:val="24"/>
          <w:szCs w:val="24"/>
          <w:shd w:val="clear" w:color="auto" w:fill="FFFFFF"/>
          <w:lang w:eastAsia="zh-CN"/>
        </w:rPr>
        <w:t>，</w:t>
      </w:r>
      <w:r>
        <w:rPr>
          <w:rFonts w:hint="eastAsia" w:ascii="宋体" w:hAnsi="宋体" w:eastAsia="宋体" w:cs="宋体"/>
          <w:b/>
          <w:bCs/>
          <w:color w:val="auto"/>
          <w:sz w:val="24"/>
          <w:szCs w:val="24"/>
          <w:highlight w:val="none"/>
          <w:lang w:val="en-US" w:eastAsia="zh-CN"/>
        </w:rPr>
        <w:t>开标时提供投标车型的整车检验报告加盖投标人公章予以佐证技术参数部分，交货时将对所有技术参数进行核验，如不符合将拒绝收货。</w:t>
      </w:r>
    </w:p>
    <w:p w14:paraId="40B1305D">
      <w:pPr>
        <w:spacing w:line="360" w:lineRule="auto"/>
        <w:ind w:firstLine="422" w:firstLineChars="175"/>
        <w:rPr>
          <w:rFonts w:hint="eastAsia" w:ascii="宋体" w:hAnsi="宋体" w:cs="宋体"/>
          <w:b/>
          <w:bCs/>
          <w:sz w:val="24"/>
          <w:szCs w:val="24"/>
          <w:highlight w:val="none"/>
          <w:lang w:val="zh-CN" w:eastAsia="zh-CN"/>
        </w:rPr>
      </w:pPr>
      <w:r>
        <w:rPr>
          <w:rFonts w:hint="eastAsia" w:ascii="宋体" w:hAnsi="宋体" w:cs="宋体"/>
          <w:b/>
          <w:bCs/>
          <w:sz w:val="24"/>
          <w:szCs w:val="24"/>
          <w:highlight w:val="none"/>
          <w:lang w:val="en-US" w:eastAsia="zh-CN"/>
        </w:rPr>
        <w:t>2、</w:t>
      </w:r>
      <w:r>
        <w:rPr>
          <w:rFonts w:hint="eastAsia" w:ascii="宋体" w:hAnsi="宋体" w:cs="宋体"/>
          <w:b/>
          <w:bCs/>
          <w:sz w:val="24"/>
          <w:szCs w:val="24"/>
          <w:highlight w:val="none"/>
          <w:lang w:val="zh-CN" w:eastAsia="zh-CN"/>
        </w:rPr>
        <w:t>10 吨级洒水喷雾车</w:t>
      </w:r>
    </w:p>
    <w:p w14:paraId="05A66499">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1.整车总质量≤</w:t>
      </w:r>
      <w:r>
        <w:rPr>
          <w:rFonts w:hint="eastAsia" w:ascii="宋体" w:hAnsi="宋体" w:cs="宋体"/>
          <w:b w:val="0"/>
          <w:bCs w:val="0"/>
          <w:color w:val="FF0000"/>
          <w:sz w:val="24"/>
          <w:szCs w:val="24"/>
          <w:highlight w:val="none"/>
          <w:lang w:val="en-US" w:eastAsia="zh-CN"/>
        </w:rPr>
        <w:t>12000</w:t>
      </w:r>
      <w:r>
        <w:rPr>
          <w:rFonts w:hint="eastAsia" w:ascii="宋体" w:hAnsi="宋体" w:cs="宋体"/>
          <w:b w:val="0"/>
          <w:bCs w:val="0"/>
          <w:sz w:val="24"/>
          <w:szCs w:val="24"/>
          <w:highlight w:val="none"/>
          <w:lang w:val="zh-CN" w:eastAsia="zh-CN"/>
        </w:rPr>
        <w:t>kg；额定载重≥6700kg；整备载重≥4800kg；</w:t>
      </w:r>
    </w:p>
    <w:p w14:paraId="4E9B8C8B">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2.轴距≥3800mm</w:t>
      </w:r>
    </w:p>
    <w:p w14:paraId="58DA744E">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3.排量≥2400ml，功率≥1</w:t>
      </w:r>
      <w:r>
        <w:rPr>
          <w:rFonts w:hint="eastAsia" w:ascii="宋体" w:hAnsi="宋体" w:cs="宋体"/>
          <w:b w:val="0"/>
          <w:bCs w:val="0"/>
          <w:sz w:val="24"/>
          <w:szCs w:val="24"/>
          <w:highlight w:val="none"/>
          <w:lang w:val="en-US" w:eastAsia="zh-CN"/>
        </w:rPr>
        <w:t>2</w:t>
      </w:r>
      <w:r>
        <w:rPr>
          <w:rFonts w:hint="eastAsia" w:ascii="宋体" w:hAnsi="宋体" w:cs="宋体"/>
          <w:b w:val="0"/>
          <w:bCs w:val="0"/>
          <w:sz w:val="24"/>
          <w:szCs w:val="24"/>
          <w:highlight w:val="none"/>
          <w:lang w:val="zh-CN" w:eastAsia="zh-CN"/>
        </w:rPr>
        <w:t>0kW；</w:t>
      </w:r>
    </w:p>
    <w:p w14:paraId="415BEE2D">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4.外形尺寸（长×宽×高）（mm）：≥7000×2250×2700（含雾炮）；</w:t>
      </w:r>
    </w:p>
    <w:p w14:paraId="2B277852">
      <w:pPr>
        <w:spacing w:line="360" w:lineRule="auto"/>
        <w:ind w:firstLine="420" w:firstLineChars="175"/>
        <w:rPr>
          <w:rFonts w:hint="eastAsia" w:ascii="宋体" w:hAnsi="宋体" w:eastAsia="Arial" w:cs="宋体"/>
          <w:b w:val="0"/>
          <w:bCs w:val="0"/>
          <w:sz w:val="24"/>
          <w:szCs w:val="24"/>
          <w:highlight w:val="none"/>
          <w:lang w:val="zh-CN" w:eastAsia="zh-CN"/>
        </w:rPr>
      </w:pPr>
      <w:r>
        <w:rPr>
          <w:rFonts w:hint="eastAsia" w:ascii="宋体" w:hAnsi="宋体" w:eastAsia="Arial" w:cs="宋体"/>
          <w:b w:val="0"/>
          <w:bCs w:val="0"/>
          <w:sz w:val="24"/>
          <w:szCs w:val="24"/>
          <w:highlight w:val="none"/>
          <w:lang w:val="zh-CN" w:eastAsia="zh-CN"/>
        </w:rPr>
        <w:t>5.燃油：柴油，国六二类载货汽车底盘，原车配备冷暖空调；须具备公告资质；最高车速（km/h）≥88</w:t>
      </w:r>
    </w:p>
    <w:p w14:paraId="7F08DCC8">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6.罐体有效容积≥6.5m³, 采用优质碳钢制造，罐体钢板厚度≥3mm；</w:t>
      </w:r>
    </w:p>
    <w:p w14:paraId="077CEC79">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7.变速箱</w:t>
      </w:r>
      <w:r>
        <w:rPr>
          <w:rFonts w:hint="eastAsia" w:ascii="宋体" w:hAnsi="宋体" w:cs="宋体"/>
          <w:b w:val="0"/>
          <w:bCs w:val="0"/>
          <w:sz w:val="24"/>
          <w:szCs w:val="24"/>
          <w:highlight w:val="none"/>
          <w:lang w:val="en-US" w:eastAsia="zh-CN"/>
        </w:rPr>
        <w:t>6档</w:t>
      </w:r>
      <w:r>
        <w:rPr>
          <w:rFonts w:hint="eastAsia" w:ascii="宋体" w:hAnsi="宋体" w:cs="宋体"/>
          <w:b w:val="0"/>
          <w:bCs w:val="0"/>
          <w:sz w:val="24"/>
          <w:szCs w:val="24"/>
          <w:highlight w:val="none"/>
          <w:lang w:val="zh-CN" w:eastAsia="zh-CN"/>
        </w:rPr>
        <w:t>及以上手动变速箱，换挡顺畅；</w:t>
      </w:r>
    </w:p>
    <w:p w14:paraId="63562C7A">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8.采用离心式洒水泵，流量≥40m3/h，扬程≥35m，自吸高度≥5m；</w:t>
      </w:r>
    </w:p>
    <w:p w14:paraId="7C608BD8">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9.喷雾俯仰角度-10°~40°电动调节，水平旋转角度±90°。</w:t>
      </w:r>
    </w:p>
    <w:p w14:paraId="3C190385">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10.配备倒车影像+倒车雷达，倒车时实时显示后方画面，距离障碍物过近自动报警。</w:t>
      </w:r>
    </w:p>
    <w:p w14:paraId="1313767A">
      <w:pPr>
        <w:spacing w:line="360" w:lineRule="auto"/>
        <w:ind w:firstLine="420" w:firstLineChars="175"/>
        <w:rPr>
          <w:rFonts w:hint="eastAsia" w:ascii="宋体" w:hAnsi="宋体" w:cs="宋体"/>
          <w:b w:val="0"/>
          <w:bCs w:val="0"/>
          <w:sz w:val="24"/>
          <w:szCs w:val="24"/>
          <w:highlight w:val="none"/>
          <w:lang w:val="zh-CN" w:eastAsia="zh-CN"/>
        </w:rPr>
      </w:pPr>
      <w:r>
        <w:rPr>
          <w:rFonts w:hint="eastAsia" w:ascii="宋体" w:hAnsi="宋体" w:cs="宋体"/>
          <w:b w:val="0"/>
          <w:bCs w:val="0"/>
          <w:sz w:val="24"/>
          <w:szCs w:val="24"/>
          <w:highlight w:val="none"/>
          <w:lang w:val="zh-CN" w:eastAsia="zh-CN"/>
        </w:rPr>
        <w:t>1</w:t>
      </w:r>
      <w:r>
        <w:rPr>
          <w:rFonts w:hint="eastAsia" w:ascii="宋体" w:hAnsi="宋体" w:cs="宋体"/>
          <w:b w:val="0"/>
          <w:bCs w:val="0"/>
          <w:sz w:val="24"/>
          <w:szCs w:val="24"/>
          <w:highlight w:val="none"/>
          <w:lang w:val="en-US" w:eastAsia="zh-CN"/>
        </w:rPr>
        <w:t>1</w:t>
      </w:r>
      <w:r>
        <w:rPr>
          <w:rFonts w:hint="eastAsia" w:ascii="宋体" w:hAnsi="宋体" w:cs="宋体"/>
          <w:b w:val="0"/>
          <w:bCs w:val="0"/>
          <w:sz w:val="24"/>
          <w:szCs w:val="24"/>
          <w:highlight w:val="none"/>
          <w:lang w:val="zh-CN" w:eastAsia="zh-CN"/>
        </w:rPr>
        <w:t>.最大水平喷雾射程≥40米，最大垂直喷射高度≥30 米，覆盖范围广。</w:t>
      </w:r>
    </w:p>
    <w:p w14:paraId="1BAACAA5">
      <w:pPr>
        <w:spacing w:line="360" w:lineRule="auto"/>
        <w:ind w:firstLine="422" w:firstLineChars="175"/>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w:t>
      </w:r>
      <w:r>
        <w:rPr>
          <w:rFonts w:ascii="Segoe UI" w:hAnsi="Segoe UI" w:eastAsia="Segoe UI" w:cs="Segoe UI"/>
          <w:b/>
          <w:bCs/>
          <w:i w:val="0"/>
          <w:iCs w:val="0"/>
          <w:caps w:val="0"/>
          <w:color w:val="FF0000"/>
          <w:spacing w:val="0"/>
          <w:sz w:val="24"/>
          <w:szCs w:val="24"/>
          <w:shd w:val="clear" w:color="auto" w:fill="FFFFFF"/>
        </w:rPr>
        <w:t>投标人所投车辆</w:t>
      </w:r>
      <w:r>
        <w:rPr>
          <w:rFonts w:hint="default" w:ascii="Segoe UI" w:hAnsi="Segoe UI" w:eastAsia="Segoe UI" w:cs="Segoe UI"/>
          <w:b/>
          <w:bCs/>
          <w:i w:val="0"/>
          <w:iCs w:val="0"/>
          <w:caps w:val="0"/>
          <w:color w:val="FF0000"/>
          <w:spacing w:val="0"/>
          <w:sz w:val="24"/>
          <w:szCs w:val="24"/>
          <w:shd w:val="clear" w:color="auto" w:fill="FFFFFF"/>
        </w:rPr>
        <w:t>必须具有中国国家强制性产品认证证书（3C认证）</w:t>
      </w:r>
      <w:r>
        <w:rPr>
          <w:rFonts w:hint="eastAsia" w:ascii="Segoe UI" w:hAnsi="Segoe UI" w:eastAsia="宋体" w:cs="Segoe UI"/>
          <w:b/>
          <w:bCs/>
          <w:i w:val="0"/>
          <w:iCs w:val="0"/>
          <w:caps w:val="0"/>
          <w:color w:val="FF0000"/>
          <w:spacing w:val="0"/>
          <w:sz w:val="24"/>
          <w:szCs w:val="24"/>
          <w:shd w:val="clear" w:color="auto" w:fill="FFFFFF"/>
          <w:lang w:eastAsia="zh-CN"/>
        </w:rPr>
        <w:t>，</w:t>
      </w:r>
      <w:r>
        <w:rPr>
          <w:rFonts w:hint="eastAsia" w:ascii="宋体" w:hAnsi="宋体" w:eastAsia="宋体" w:cs="宋体"/>
          <w:b/>
          <w:bCs/>
          <w:color w:val="auto"/>
          <w:sz w:val="24"/>
          <w:szCs w:val="24"/>
          <w:highlight w:val="none"/>
          <w:lang w:val="en-US" w:eastAsia="zh-CN"/>
        </w:rPr>
        <w:t>开标时提供投标车型的整车检验报告加盖投标人公章予以佐证技术参数部分，交货时将对所有技术参数进行核验，如不符合将拒绝收货。</w:t>
      </w:r>
    </w:p>
    <w:p w14:paraId="23DAE0E7">
      <w:pPr>
        <w:numPr>
          <w:ilvl w:val="0"/>
          <w:numId w:val="2"/>
        </w:numPr>
        <w:spacing w:line="360" w:lineRule="auto"/>
        <w:ind w:firstLine="422" w:firstLineChars="175"/>
        <w:rPr>
          <w:rFonts w:hint="eastAsia" w:ascii="宋体" w:hAnsi="宋体" w:cs="宋体"/>
          <w:b/>
          <w:bCs/>
          <w:sz w:val="24"/>
          <w:szCs w:val="24"/>
          <w:highlight w:val="none"/>
          <w:lang w:val="zh-CN" w:eastAsia="zh-CN"/>
        </w:rPr>
      </w:pPr>
      <w:r>
        <w:rPr>
          <w:rFonts w:hint="eastAsia" w:ascii="宋体" w:hAnsi="宋体" w:cs="宋体"/>
          <w:b/>
          <w:bCs/>
          <w:sz w:val="24"/>
          <w:szCs w:val="24"/>
          <w:highlight w:val="none"/>
          <w:lang w:val="zh-CN" w:eastAsia="zh-CN"/>
        </w:rPr>
        <w:t>三轮高压冲洗车</w:t>
      </w:r>
    </w:p>
    <w:p w14:paraId="65FF6A62">
      <w:pPr>
        <w:spacing w:line="360" w:lineRule="auto"/>
        <w:ind w:firstLine="420" w:firstLineChars="175"/>
        <w:rPr>
          <w:rFonts w:hint="eastAsia" w:ascii="宋体" w:hAnsi="宋体" w:eastAsia="Arial" w:cs="宋体"/>
          <w:b w:val="0"/>
          <w:bCs w:val="0"/>
          <w:sz w:val="24"/>
          <w:szCs w:val="24"/>
          <w:highlight w:val="none"/>
          <w:lang w:val="zh-CN" w:eastAsia="zh-CN"/>
        </w:rPr>
      </w:pPr>
      <w:r>
        <w:rPr>
          <w:rFonts w:hint="eastAsia" w:ascii="宋体" w:hAnsi="宋体" w:eastAsia="Arial" w:cs="宋体"/>
          <w:b w:val="0"/>
          <w:bCs w:val="0"/>
          <w:sz w:val="24"/>
          <w:szCs w:val="24"/>
          <w:highlight w:val="none"/>
          <w:lang w:val="zh-CN" w:eastAsia="zh-CN"/>
        </w:rPr>
        <w:t>1.最大总质量（kg）≥487；额定载重≥170kg；整备载重≥249kg；</w:t>
      </w:r>
    </w:p>
    <w:p w14:paraId="0A5684F4">
      <w:pPr>
        <w:spacing w:line="360" w:lineRule="auto"/>
        <w:ind w:firstLine="420" w:firstLineChars="175"/>
        <w:rPr>
          <w:rFonts w:hint="eastAsia" w:ascii="宋体" w:hAnsi="宋体" w:eastAsia="Arial" w:cs="宋体"/>
          <w:b w:val="0"/>
          <w:bCs w:val="0"/>
          <w:sz w:val="24"/>
          <w:szCs w:val="24"/>
          <w:highlight w:val="none"/>
          <w:lang w:val="zh-CN" w:eastAsia="zh-CN"/>
        </w:rPr>
      </w:pPr>
      <w:r>
        <w:rPr>
          <w:rFonts w:hint="eastAsia" w:ascii="宋体" w:hAnsi="宋体" w:eastAsia="Arial" w:cs="宋体"/>
          <w:b w:val="0"/>
          <w:bCs w:val="0"/>
          <w:sz w:val="24"/>
          <w:szCs w:val="24"/>
          <w:highlight w:val="none"/>
          <w:lang w:val="zh-CN" w:eastAsia="zh-CN"/>
        </w:rPr>
        <w:t>2.轴距≥1900mm</w:t>
      </w:r>
    </w:p>
    <w:p w14:paraId="0A8A4F14">
      <w:pPr>
        <w:spacing w:line="360" w:lineRule="auto"/>
        <w:ind w:firstLine="420" w:firstLineChars="175"/>
        <w:rPr>
          <w:rFonts w:hint="eastAsia" w:ascii="宋体" w:hAnsi="宋体" w:eastAsia="Arial" w:cs="宋体"/>
          <w:b w:val="0"/>
          <w:bCs w:val="0"/>
          <w:sz w:val="24"/>
          <w:szCs w:val="24"/>
          <w:highlight w:val="none"/>
          <w:lang w:val="zh-CN" w:eastAsia="zh-CN"/>
        </w:rPr>
      </w:pPr>
      <w:r>
        <w:rPr>
          <w:rFonts w:hint="eastAsia" w:ascii="宋体" w:hAnsi="宋体" w:eastAsia="Arial" w:cs="宋体"/>
          <w:b w:val="0"/>
          <w:bCs w:val="0"/>
          <w:sz w:val="24"/>
          <w:szCs w:val="24"/>
          <w:highlight w:val="none"/>
          <w:lang w:val="zh-CN" w:eastAsia="zh-CN"/>
        </w:rPr>
        <w:t>3.电池系统:60V 58Ah及以上铅酸/锂电池， 续航里程≥40km，充电时间≤8 小时；</w:t>
      </w:r>
    </w:p>
    <w:p w14:paraId="5A015ACB">
      <w:pPr>
        <w:spacing w:line="360" w:lineRule="auto"/>
        <w:ind w:firstLine="420" w:firstLineChars="175"/>
        <w:rPr>
          <w:rFonts w:hint="eastAsia" w:ascii="宋体" w:hAnsi="宋体" w:eastAsia="Arial" w:cs="宋体"/>
          <w:b w:val="0"/>
          <w:bCs w:val="0"/>
          <w:sz w:val="24"/>
          <w:szCs w:val="24"/>
          <w:highlight w:val="none"/>
          <w:lang w:val="zh-CN" w:eastAsia="zh-CN"/>
        </w:rPr>
      </w:pPr>
      <w:r>
        <w:rPr>
          <w:rFonts w:hint="eastAsia" w:ascii="宋体" w:hAnsi="宋体" w:eastAsia="Arial" w:cs="宋体"/>
          <w:b w:val="0"/>
          <w:bCs w:val="0"/>
          <w:sz w:val="24"/>
          <w:szCs w:val="24"/>
          <w:highlight w:val="none"/>
          <w:lang w:val="zh-CN" w:eastAsia="zh-CN"/>
        </w:rPr>
        <w:t>4.外形尺寸（长×宽×高）（mm）：≥2900×1000×1680；</w:t>
      </w:r>
    </w:p>
    <w:p w14:paraId="5AC86315">
      <w:pPr>
        <w:spacing w:line="360" w:lineRule="auto"/>
        <w:ind w:firstLine="420" w:firstLineChars="175"/>
        <w:rPr>
          <w:rFonts w:hint="eastAsia" w:ascii="宋体" w:hAnsi="宋体" w:eastAsia="Arial" w:cs="宋体"/>
          <w:b w:val="0"/>
          <w:bCs w:val="0"/>
          <w:sz w:val="24"/>
          <w:szCs w:val="24"/>
          <w:highlight w:val="none"/>
          <w:lang w:val="zh-CN" w:eastAsia="zh-CN"/>
        </w:rPr>
      </w:pPr>
      <w:r>
        <w:rPr>
          <w:rFonts w:hint="eastAsia" w:ascii="宋体" w:hAnsi="宋体" w:eastAsia="Arial" w:cs="宋体"/>
          <w:b w:val="0"/>
          <w:bCs w:val="0"/>
          <w:sz w:val="24"/>
          <w:szCs w:val="24"/>
          <w:highlight w:val="none"/>
          <w:lang w:val="zh-CN" w:eastAsia="zh-CN"/>
        </w:rPr>
        <w:t>5.悬挂系统:前悬加粗双筒液压减震，后悬钢板弹簧非独立悬挂，减震效果好，适应复杂路况;</w:t>
      </w:r>
    </w:p>
    <w:p w14:paraId="33FFF704">
      <w:pPr>
        <w:spacing w:line="360" w:lineRule="auto"/>
        <w:ind w:firstLine="420" w:firstLineChars="175"/>
        <w:rPr>
          <w:rFonts w:hint="eastAsia" w:ascii="宋体" w:hAnsi="宋体" w:eastAsia="Arial" w:cs="宋体"/>
          <w:b w:val="0"/>
          <w:bCs w:val="0"/>
          <w:sz w:val="24"/>
          <w:szCs w:val="24"/>
          <w:highlight w:val="none"/>
          <w:lang w:val="zh-CN" w:eastAsia="zh-CN"/>
        </w:rPr>
      </w:pPr>
      <w:r>
        <w:rPr>
          <w:rFonts w:hint="eastAsia" w:ascii="宋体" w:hAnsi="宋体" w:eastAsia="Arial" w:cs="宋体"/>
          <w:b w:val="0"/>
          <w:bCs w:val="0"/>
          <w:sz w:val="24"/>
          <w:szCs w:val="24"/>
          <w:highlight w:val="none"/>
          <w:lang w:val="zh-CN" w:eastAsia="zh-CN"/>
        </w:rPr>
        <w:t>6.行走动力:纯电动驱动，电机功率≥1200W， 重载型电机，爬坡能力强;最高车速（km/h）≥20</w:t>
      </w:r>
    </w:p>
    <w:p w14:paraId="53FAAD03">
      <w:pPr>
        <w:spacing w:line="360" w:lineRule="auto"/>
        <w:ind w:firstLine="420" w:firstLineChars="175"/>
        <w:rPr>
          <w:rFonts w:hint="eastAsia" w:ascii="宋体" w:hAnsi="宋体" w:eastAsia="Arial" w:cs="宋体"/>
          <w:b w:val="0"/>
          <w:bCs w:val="0"/>
          <w:sz w:val="24"/>
          <w:szCs w:val="24"/>
          <w:highlight w:val="none"/>
          <w:lang w:val="zh-CN" w:eastAsia="zh-CN"/>
        </w:rPr>
      </w:pPr>
      <w:r>
        <w:rPr>
          <w:rFonts w:hint="eastAsia" w:ascii="宋体" w:hAnsi="宋体" w:eastAsia="Arial" w:cs="宋体"/>
          <w:b w:val="0"/>
          <w:bCs w:val="0"/>
          <w:sz w:val="24"/>
          <w:szCs w:val="24"/>
          <w:highlight w:val="none"/>
          <w:lang w:val="zh-CN" w:eastAsia="zh-CN"/>
        </w:rPr>
        <w:t>7.冲洗动力采用18HP高性能风冷汽油机，带动高压柱塞泵;</w:t>
      </w:r>
    </w:p>
    <w:p w14:paraId="037B9069">
      <w:pPr>
        <w:spacing w:line="360" w:lineRule="auto"/>
        <w:ind w:firstLine="420" w:firstLineChars="175"/>
        <w:rPr>
          <w:rFonts w:hint="eastAsia" w:ascii="宋体" w:hAnsi="宋体" w:eastAsia="Arial" w:cs="宋体"/>
          <w:b w:val="0"/>
          <w:bCs w:val="0"/>
          <w:sz w:val="24"/>
          <w:szCs w:val="24"/>
          <w:highlight w:val="none"/>
          <w:lang w:val="zh-CN" w:eastAsia="zh-CN"/>
        </w:rPr>
      </w:pPr>
      <w:r>
        <w:rPr>
          <w:rFonts w:hint="eastAsia" w:ascii="宋体" w:hAnsi="宋体" w:eastAsia="Arial" w:cs="宋体"/>
          <w:b w:val="0"/>
          <w:bCs w:val="0"/>
          <w:sz w:val="24"/>
          <w:szCs w:val="24"/>
          <w:highlight w:val="none"/>
          <w:lang w:val="zh-CN" w:eastAsia="zh-CN"/>
        </w:rPr>
        <w:t>8.制动系统:前后鼓刹/碟刹，制动可靠，具备驻车制动；</w:t>
      </w:r>
    </w:p>
    <w:p w14:paraId="1E41A9FE">
      <w:pPr>
        <w:spacing w:line="360" w:lineRule="auto"/>
        <w:ind w:firstLine="420" w:firstLineChars="175"/>
        <w:rPr>
          <w:rFonts w:hint="eastAsia" w:ascii="宋体" w:hAnsi="宋体" w:eastAsia="Arial" w:cs="宋体"/>
          <w:b w:val="0"/>
          <w:bCs w:val="0"/>
          <w:sz w:val="24"/>
          <w:szCs w:val="24"/>
          <w:highlight w:val="none"/>
          <w:lang w:val="zh-CN" w:eastAsia="zh-CN"/>
        </w:rPr>
      </w:pPr>
      <w:r>
        <w:rPr>
          <w:rFonts w:hint="eastAsia" w:ascii="宋体" w:hAnsi="宋体" w:eastAsia="Arial" w:cs="宋体"/>
          <w:b w:val="0"/>
          <w:bCs w:val="0"/>
          <w:sz w:val="24"/>
          <w:szCs w:val="24"/>
          <w:highlight w:val="none"/>
          <w:lang w:val="zh-CN" w:eastAsia="zh-CN"/>
        </w:rPr>
        <w:t>9.高压泵压力≥250kgf/cm2（25MPa），流量≥15L/min，压力范围可调节；配备 15 米及以上高压卷管器，收放方便，作业半径大；</w:t>
      </w:r>
    </w:p>
    <w:p w14:paraId="43937E1B">
      <w:pPr>
        <w:spacing w:line="360" w:lineRule="auto"/>
        <w:ind w:firstLine="420" w:firstLineChars="175"/>
        <w:rPr>
          <w:rFonts w:hint="eastAsia" w:ascii="宋体" w:hAnsi="宋体" w:eastAsia="Arial" w:cs="宋体"/>
          <w:b w:val="0"/>
          <w:bCs w:val="0"/>
          <w:sz w:val="24"/>
          <w:szCs w:val="24"/>
          <w:highlight w:val="none"/>
          <w:lang w:val="zh-CN" w:eastAsia="zh-CN"/>
        </w:rPr>
      </w:pPr>
      <w:r>
        <w:rPr>
          <w:rFonts w:hint="eastAsia" w:ascii="宋体" w:hAnsi="宋体" w:eastAsia="Arial" w:cs="宋体"/>
          <w:b w:val="0"/>
          <w:bCs w:val="0"/>
          <w:sz w:val="24"/>
          <w:szCs w:val="24"/>
          <w:highlight w:val="none"/>
          <w:lang w:val="zh-CN" w:eastAsia="zh-CN"/>
        </w:rPr>
        <w:t>10.标配5种喷头：0度直线喷头、15度扇形喷头、25度扇形喷头、45度扇形喷头、旋转喷头，可根据不同作业场景更换；</w:t>
      </w:r>
    </w:p>
    <w:p w14:paraId="191F8069">
      <w:pPr>
        <w:spacing w:line="360" w:lineRule="auto"/>
        <w:ind w:firstLine="420" w:firstLineChars="175"/>
        <w:rPr>
          <w:rFonts w:hint="eastAsia" w:ascii="宋体" w:hAnsi="宋体" w:cs="宋体"/>
          <w:b/>
          <w:bCs/>
          <w:sz w:val="24"/>
          <w:szCs w:val="24"/>
          <w:highlight w:val="none"/>
          <w:lang w:val="zh-CN" w:eastAsia="zh-CN"/>
        </w:rPr>
      </w:pPr>
      <w:r>
        <w:rPr>
          <w:rFonts w:hint="eastAsia" w:ascii="宋体" w:hAnsi="宋体" w:eastAsia="Arial" w:cs="宋体"/>
          <w:b w:val="0"/>
          <w:bCs w:val="0"/>
          <w:sz w:val="24"/>
          <w:szCs w:val="24"/>
          <w:highlight w:val="none"/>
          <w:lang w:val="en-US" w:eastAsia="zh-CN"/>
        </w:rPr>
        <w:t>11</w:t>
      </w:r>
      <w:r>
        <w:rPr>
          <w:rFonts w:hint="eastAsia" w:ascii="宋体" w:hAnsi="宋体" w:eastAsia="Arial" w:cs="宋体"/>
          <w:b w:val="0"/>
          <w:bCs w:val="0"/>
          <w:sz w:val="24"/>
          <w:szCs w:val="24"/>
          <w:highlight w:val="none"/>
          <w:lang w:val="zh-CN" w:eastAsia="zh-CN"/>
        </w:rPr>
        <w:t>.具备前对冲、后洒功能，前置对冲喷头可冲洗路面污渍，后置洒水管可进行路面降尘</w:t>
      </w:r>
      <w:r>
        <w:rPr>
          <w:rFonts w:hint="eastAsia" w:ascii="宋体" w:hAnsi="宋体" w:cs="宋体"/>
          <w:b/>
          <w:bCs/>
          <w:sz w:val="24"/>
          <w:szCs w:val="24"/>
          <w:highlight w:val="none"/>
          <w:lang w:val="zh-CN" w:eastAsia="zh-CN"/>
        </w:rPr>
        <w:t>。</w:t>
      </w:r>
    </w:p>
    <w:p w14:paraId="18660A85">
      <w:pPr>
        <w:spacing w:line="360" w:lineRule="auto"/>
        <w:ind w:firstLine="422" w:firstLineChars="175"/>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w:t>
      </w:r>
      <w:r>
        <w:rPr>
          <w:rFonts w:ascii="Segoe UI" w:hAnsi="Segoe UI" w:eastAsia="Segoe UI" w:cs="Segoe UI"/>
          <w:b/>
          <w:bCs/>
          <w:i w:val="0"/>
          <w:iCs w:val="0"/>
          <w:caps w:val="0"/>
          <w:color w:val="FF0000"/>
          <w:spacing w:val="0"/>
          <w:sz w:val="24"/>
          <w:szCs w:val="24"/>
          <w:shd w:val="clear" w:color="auto" w:fill="FFFFFF"/>
        </w:rPr>
        <w:t>投标人所投车辆</w:t>
      </w:r>
      <w:r>
        <w:rPr>
          <w:rFonts w:hint="default" w:ascii="Segoe UI" w:hAnsi="Segoe UI" w:eastAsia="Segoe UI" w:cs="Segoe UI"/>
          <w:b/>
          <w:bCs/>
          <w:i w:val="0"/>
          <w:iCs w:val="0"/>
          <w:caps w:val="0"/>
          <w:color w:val="FF0000"/>
          <w:spacing w:val="0"/>
          <w:sz w:val="24"/>
          <w:szCs w:val="24"/>
          <w:shd w:val="clear" w:color="auto" w:fill="FFFFFF"/>
        </w:rPr>
        <w:t>必须具有中国国家强制性产品认证证书（3C认证）</w:t>
      </w:r>
      <w:r>
        <w:rPr>
          <w:rFonts w:hint="eastAsia" w:ascii="Segoe UI" w:hAnsi="Segoe UI" w:eastAsia="宋体" w:cs="Segoe UI"/>
          <w:b/>
          <w:bCs/>
          <w:i w:val="0"/>
          <w:iCs w:val="0"/>
          <w:caps w:val="0"/>
          <w:color w:val="FF0000"/>
          <w:spacing w:val="0"/>
          <w:sz w:val="24"/>
          <w:szCs w:val="24"/>
          <w:shd w:val="clear" w:color="auto" w:fill="FFFFFF"/>
          <w:lang w:eastAsia="zh-CN"/>
        </w:rPr>
        <w:t>，</w:t>
      </w:r>
      <w:r>
        <w:rPr>
          <w:rFonts w:hint="eastAsia" w:ascii="宋体" w:hAnsi="宋体" w:eastAsia="宋体" w:cs="宋体"/>
          <w:b/>
          <w:bCs/>
          <w:color w:val="auto"/>
          <w:sz w:val="24"/>
          <w:szCs w:val="24"/>
          <w:highlight w:val="none"/>
          <w:lang w:val="en-US" w:eastAsia="zh-CN"/>
        </w:rPr>
        <w:t>开标时提供投标车型的整车检验报告加盖投标人公章予以佐证技术参数部分，交货时将对所有技术参数进行核验，如不符合将拒绝收货。</w:t>
      </w:r>
    </w:p>
    <w:p w14:paraId="3DF1AA61">
      <w:pPr>
        <w:snapToGrid w:val="0"/>
        <w:spacing w:line="336" w:lineRule="auto"/>
        <w:ind w:right="519" w:rightChars="247"/>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二</w:t>
      </w:r>
      <w:r>
        <w:rPr>
          <w:rFonts w:hint="eastAsia" w:ascii="宋体" w:hAnsi="宋体" w:eastAsia="宋体" w:cs="宋体"/>
          <w:b/>
          <w:color w:val="auto"/>
          <w:sz w:val="32"/>
          <w:szCs w:val="32"/>
          <w:highlight w:val="none"/>
        </w:rPr>
        <w:tab/>
      </w:r>
      <w:r>
        <w:rPr>
          <w:rFonts w:hint="eastAsia" w:ascii="宋体" w:hAnsi="宋体" w:eastAsia="宋体" w:cs="宋体"/>
          <w:b/>
          <w:color w:val="auto"/>
          <w:sz w:val="32"/>
          <w:szCs w:val="32"/>
          <w:highlight w:val="none"/>
        </w:rPr>
        <w:t>、商务条款</w:t>
      </w:r>
    </w:p>
    <w:p w14:paraId="4E2475B9">
      <w:pPr>
        <w:shd w:val="clear" w:color="auto" w:fill="auto"/>
        <w:autoSpaceDE w:val="0"/>
        <w:autoSpaceDN w:val="0"/>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zh-CN"/>
        </w:rPr>
        <w:t>（一）</w:t>
      </w:r>
      <w:r>
        <w:rPr>
          <w:rFonts w:hint="eastAsia" w:ascii="宋体" w:hAnsi="宋体" w:eastAsia="宋体" w:cs="宋体"/>
          <w:b/>
          <w:bCs/>
          <w:color w:val="auto"/>
          <w:sz w:val="24"/>
          <w:szCs w:val="24"/>
          <w:highlight w:val="none"/>
        </w:rPr>
        <w:t>售后服务要求</w:t>
      </w:r>
    </w:p>
    <w:p w14:paraId="16C90F4C">
      <w:pPr>
        <w:shd w:val="clear" w:color="auto" w:fill="auto"/>
        <w:autoSpaceDE w:val="0"/>
        <w:autoSpaceDN w:val="0"/>
        <w:adjustRightInd w:val="0"/>
        <w:snapToGrid w:val="0"/>
        <w:spacing w:line="360" w:lineRule="auto"/>
        <w:rPr>
          <w:rFonts w:hint="eastAsia" w:ascii="宋体" w:hAnsi="宋体" w:eastAsia="宋体" w:cs="宋体"/>
          <w:b w:val="0"/>
          <w:bCs w:val="0"/>
          <w:color w:val="auto"/>
          <w:sz w:val="24"/>
          <w:szCs w:val="24"/>
          <w:highlight w:val="none"/>
          <w:lang w:val="zh-CN"/>
        </w:rPr>
      </w:pPr>
      <w:r>
        <w:rPr>
          <w:rFonts w:hint="eastAsia" w:ascii="宋体" w:hAnsi="宋体" w:eastAsia="宋体" w:cs="宋体"/>
          <w:b w:val="0"/>
          <w:bCs w:val="0"/>
          <w:color w:val="auto"/>
          <w:sz w:val="24"/>
          <w:szCs w:val="24"/>
          <w:highlight w:val="none"/>
          <w:lang w:val="zh-CN"/>
        </w:rPr>
        <w:t>（</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zh-CN"/>
        </w:rPr>
        <w:t>）货物必须为原厂原装、全新的、符合国家有关质量标准的产品；本项目免费质量保证期为壹年（相关标准大于壹年的，按相关标准执行）。</w:t>
      </w:r>
    </w:p>
    <w:p w14:paraId="146BDC2A">
      <w:pPr>
        <w:shd w:val="clear" w:color="auto" w:fill="auto"/>
        <w:autoSpaceDE w:val="0"/>
        <w:autoSpaceDN w:val="0"/>
        <w:adjustRightInd w:val="0"/>
        <w:snapToGrid w:val="0"/>
        <w:spacing w:line="360" w:lineRule="auto"/>
        <w:rPr>
          <w:rFonts w:hint="eastAsia" w:ascii="宋体" w:hAnsi="宋体" w:eastAsia="宋体" w:cs="宋体"/>
          <w:b w:val="0"/>
          <w:bCs w:val="0"/>
          <w:color w:val="auto"/>
          <w:sz w:val="24"/>
          <w:szCs w:val="24"/>
          <w:highlight w:val="none"/>
          <w:lang w:val="zh-CN"/>
        </w:rPr>
      </w:pPr>
      <w:r>
        <w:rPr>
          <w:rFonts w:hint="eastAsia" w:ascii="宋体" w:hAnsi="宋体" w:eastAsia="宋体" w:cs="宋体"/>
          <w:b w:val="0"/>
          <w:bCs w:val="0"/>
          <w:color w:val="auto"/>
          <w:sz w:val="24"/>
          <w:szCs w:val="24"/>
          <w:highlight w:val="none"/>
          <w:lang w:val="zh-CN"/>
        </w:rPr>
        <w:t>（</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zh-CN"/>
        </w:rPr>
        <w:t>）质量保证期自采购人（或其授权代表）在验收报告上签署“验收合格”之日起计算，终身维修。</w:t>
      </w:r>
    </w:p>
    <w:p w14:paraId="7791A607">
      <w:pPr>
        <w:shd w:val="clear" w:color="auto" w:fill="auto"/>
        <w:autoSpaceDE w:val="0"/>
        <w:autoSpaceDN w:val="0"/>
        <w:adjustRightInd w:val="0"/>
        <w:snapToGrid w:val="0"/>
        <w:spacing w:line="360" w:lineRule="auto"/>
        <w:rPr>
          <w:rFonts w:hint="eastAsia" w:ascii="宋体" w:hAnsi="宋体" w:eastAsia="宋体" w:cs="宋体"/>
          <w:b w:val="0"/>
          <w:bCs w:val="0"/>
          <w:color w:val="auto"/>
          <w:sz w:val="24"/>
          <w:szCs w:val="24"/>
          <w:highlight w:val="none"/>
          <w:lang w:val="zh-CN"/>
        </w:rPr>
      </w:pPr>
      <w:r>
        <w:rPr>
          <w:rFonts w:hint="eastAsia" w:ascii="宋体" w:hAnsi="宋体" w:eastAsia="宋体" w:cs="宋体"/>
          <w:b w:val="0"/>
          <w:bCs w:val="0"/>
          <w:color w:val="auto"/>
          <w:sz w:val="24"/>
          <w:szCs w:val="24"/>
          <w:highlight w:val="none"/>
          <w:lang w:val="zh-CN"/>
        </w:rPr>
        <w:t>（</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zh-CN"/>
        </w:rPr>
        <w:t>）质量保证期内维护项目正常运行的服务方式为由中标人派人员到设备使用现场维修。</w:t>
      </w:r>
    </w:p>
    <w:p w14:paraId="65906FBA">
      <w:pPr>
        <w:shd w:val="clear" w:color="auto" w:fill="auto"/>
        <w:autoSpaceDE w:val="0"/>
        <w:autoSpaceDN w:val="0"/>
        <w:adjustRightInd w:val="0"/>
        <w:snapToGrid w:val="0"/>
        <w:spacing w:line="360" w:lineRule="auto"/>
        <w:rPr>
          <w:rFonts w:hint="eastAsia" w:ascii="宋体" w:hAnsi="宋体" w:eastAsia="宋体" w:cs="宋体"/>
          <w:b w:val="0"/>
          <w:bCs w:val="0"/>
          <w:color w:val="auto"/>
          <w:sz w:val="24"/>
          <w:szCs w:val="24"/>
          <w:highlight w:val="none"/>
          <w:lang w:val="zh-CN"/>
        </w:rPr>
      </w:pPr>
      <w:r>
        <w:rPr>
          <w:rFonts w:hint="eastAsia" w:ascii="宋体" w:hAnsi="宋体" w:eastAsia="宋体" w:cs="宋体"/>
          <w:b w:val="0"/>
          <w:bCs w:val="0"/>
          <w:color w:val="auto"/>
          <w:sz w:val="24"/>
          <w:szCs w:val="24"/>
          <w:highlight w:val="none"/>
          <w:lang w:val="zh-CN"/>
        </w:rPr>
        <w:t>（</w:t>
      </w: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zh-CN"/>
        </w:rPr>
        <w:t>）在质量保证期内，中标人接到故障通知后</w:t>
      </w: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zh-CN"/>
        </w:rPr>
        <w:t>小时</w:t>
      </w:r>
      <w:r>
        <w:rPr>
          <w:rFonts w:hint="eastAsia" w:ascii="宋体" w:hAnsi="宋体" w:eastAsia="宋体" w:cs="宋体"/>
          <w:b w:val="0"/>
          <w:bCs w:val="0"/>
          <w:color w:val="auto"/>
          <w:sz w:val="24"/>
          <w:szCs w:val="24"/>
          <w:highlight w:val="none"/>
          <w:lang w:val="en-US" w:eastAsia="zh-CN"/>
        </w:rPr>
        <w:t>内</w:t>
      </w:r>
      <w:r>
        <w:rPr>
          <w:rFonts w:hint="eastAsia" w:ascii="宋体" w:hAnsi="宋体" w:eastAsia="宋体" w:cs="宋体"/>
          <w:b w:val="0"/>
          <w:bCs w:val="0"/>
          <w:color w:val="auto"/>
          <w:sz w:val="24"/>
          <w:szCs w:val="24"/>
          <w:highlight w:val="none"/>
          <w:lang w:val="zh-CN"/>
        </w:rPr>
        <w:t>响应，</w:t>
      </w:r>
      <w:r>
        <w:rPr>
          <w:rFonts w:hint="eastAsia" w:ascii="宋体" w:hAnsi="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lang w:val="zh-CN"/>
        </w:rPr>
        <w:t>小时内到现场排除故障。质保期内中标人需提供电话热线技术支持，如通过电话无法解决，则需派技术人员赴现场解决，所有服务方式均为中标人上门服务（特殊要求除外），即由中标人派技术人员到采购人及用户使用现场维修维护，并且全部设备提供 7×</w:t>
      </w:r>
      <w:r>
        <w:rPr>
          <w:rFonts w:hint="eastAsia" w:ascii="宋体" w:hAnsi="宋体" w:cs="宋体"/>
          <w:b w:val="0"/>
          <w:bCs w:val="0"/>
          <w:color w:val="auto"/>
          <w:sz w:val="24"/>
          <w:szCs w:val="24"/>
          <w:highlight w:val="none"/>
          <w:lang w:val="en-US" w:eastAsia="zh-CN"/>
        </w:rPr>
        <w:t>24</w:t>
      </w:r>
      <w:r>
        <w:rPr>
          <w:rFonts w:hint="eastAsia" w:ascii="宋体" w:hAnsi="宋体" w:eastAsia="宋体" w:cs="宋体"/>
          <w:b w:val="0"/>
          <w:bCs w:val="0"/>
          <w:color w:val="auto"/>
          <w:sz w:val="24"/>
          <w:szCs w:val="24"/>
          <w:highlight w:val="none"/>
          <w:lang w:val="zh-CN"/>
        </w:rPr>
        <w:t>小时在线技术支持。</w:t>
      </w:r>
    </w:p>
    <w:p w14:paraId="49FD0CB0">
      <w:pPr>
        <w:shd w:val="clear" w:color="auto" w:fill="auto"/>
        <w:autoSpaceDE w:val="0"/>
        <w:autoSpaceDN w:val="0"/>
        <w:adjustRightInd w:val="0"/>
        <w:snapToGrid w:val="0"/>
        <w:spacing w:line="360" w:lineRule="auto"/>
        <w:rPr>
          <w:rFonts w:hint="default" w:ascii="宋体" w:hAnsi="宋体" w:eastAsia="宋体" w:cs="宋体"/>
          <w:b w:val="0"/>
          <w:bCs w:val="0"/>
          <w:color w:val="auto"/>
          <w:sz w:val="24"/>
          <w:szCs w:val="24"/>
          <w:highlight w:val="none"/>
          <w:lang w:val="en-US"/>
        </w:rPr>
      </w:pP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lang w:val="en-US" w:eastAsia="zh-CN"/>
        </w:rPr>
        <w:t>交货</w:t>
      </w:r>
      <w:r>
        <w:rPr>
          <w:rFonts w:hint="eastAsia" w:ascii="宋体" w:hAnsi="宋体" w:eastAsia="宋体" w:cs="宋体"/>
          <w:b/>
          <w:bCs/>
          <w:color w:val="auto"/>
          <w:sz w:val="24"/>
          <w:szCs w:val="24"/>
          <w:highlight w:val="none"/>
          <w:lang w:val="zh-CN"/>
        </w:rPr>
        <w:t>时间：</w:t>
      </w:r>
      <w:r>
        <w:rPr>
          <w:rFonts w:hint="eastAsia" w:ascii="宋体" w:hAnsi="宋体" w:eastAsia="宋体" w:cs="宋体"/>
          <w:b/>
          <w:bCs/>
          <w:color w:val="auto"/>
          <w:sz w:val="24"/>
          <w:szCs w:val="24"/>
          <w:highlight w:val="none"/>
          <w:lang w:val="zh-CN" w:eastAsia="zh-CN"/>
        </w:rPr>
        <w:t>签订合同后 15 个工作日内完成供货及安装调试</w:t>
      </w:r>
      <w:r>
        <w:rPr>
          <w:rFonts w:hint="eastAsia" w:ascii="宋体" w:hAnsi="宋体" w:eastAsia="宋体" w:cs="宋体"/>
          <w:b/>
          <w:bCs/>
          <w:color w:val="auto"/>
          <w:sz w:val="24"/>
          <w:szCs w:val="24"/>
          <w:highlight w:val="none"/>
          <w:lang w:val="en-US" w:eastAsia="zh-CN"/>
        </w:rPr>
        <w:t>合格</w:t>
      </w:r>
      <w:r>
        <w:rPr>
          <w:rFonts w:hint="eastAsia" w:ascii="宋体" w:hAnsi="宋体" w:eastAsia="宋体" w:cs="宋体"/>
          <w:b/>
          <w:bCs/>
          <w:color w:val="auto"/>
          <w:sz w:val="24"/>
          <w:szCs w:val="24"/>
          <w:highlight w:val="none"/>
          <w:lang w:val="zh-CN" w:eastAsia="zh-CN"/>
        </w:rPr>
        <w:t>。</w:t>
      </w:r>
      <w:r>
        <w:rPr>
          <w:rFonts w:hint="eastAsia" w:ascii="宋体" w:hAnsi="宋体" w:eastAsia="宋体" w:cs="宋体"/>
          <w:b/>
          <w:bCs/>
          <w:color w:val="FF0000"/>
          <w:sz w:val="24"/>
          <w:szCs w:val="24"/>
          <w:highlight w:val="none"/>
          <w:lang w:val="en-US" w:eastAsia="zh-CN"/>
        </w:rPr>
        <w:t>交货地点：</w:t>
      </w:r>
      <w:r>
        <w:rPr>
          <w:rFonts w:hint="eastAsia" w:ascii="宋体" w:hAnsi="宋体" w:eastAsia="宋体" w:cs="宋体"/>
          <w:sz w:val="24"/>
          <w:szCs w:val="24"/>
          <w:highlight w:val="none"/>
          <w:lang w:eastAsia="zh-CN"/>
        </w:rPr>
        <w:t>上饶经济技术开发区</w:t>
      </w:r>
    </w:p>
    <w:p w14:paraId="1062FAF5">
      <w:pPr>
        <w:shd w:val="clear" w:color="auto" w:fill="auto"/>
        <w:autoSpaceDE w:val="0"/>
        <w:autoSpaceDN w:val="0"/>
        <w:adjustRightInd w:val="0"/>
        <w:snapToGrid w:val="0"/>
        <w:spacing w:line="360" w:lineRule="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zh-CN"/>
        </w:rPr>
        <w:t>）付款方式：</w:t>
      </w:r>
      <w:r>
        <w:rPr>
          <w:rFonts w:ascii="Segoe UI" w:hAnsi="Segoe UI" w:eastAsia="Segoe UI" w:cs="Segoe UI"/>
          <w:i w:val="0"/>
          <w:iCs w:val="0"/>
          <w:caps w:val="0"/>
          <w:color w:val="FF0000"/>
          <w:spacing w:val="0"/>
          <w:sz w:val="24"/>
          <w:szCs w:val="24"/>
          <w:shd w:val="clear" w:color="auto" w:fill="FFFFFF"/>
        </w:rPr>
        <w:t>所有合同项中货物交付完毕并完成车辆上牌手续后，</w:t>
      </w:r>
      <w:r>
        <w:rPr>
          <w:rFonts w:hint="default" w:ascii="Segoe UI" w:hAnsi="Segoe UI" w:eastAsia="Segoe UI" w:cs="Segoe UI"/>
          <w:b/>
          <w:bCs/>
          <w:i w:val="0"/>
          <w:iCs w:val="0"/>
          <w:caps w:val="0"/>
          <w:color w:val="FF0000"/>
          <w:spacing w:val="0"/>
          <w:sz w:val="24"/>
          <w:szCs w:val="24"/>
          <w:shd w:val="clear" w:color="auto" w:fill="FFFFFF"/>
        </w:rPr>
        <w:t>甲方在收到</w:t>
      </w:r>
      <w:r>
        <w:rPr>
          <w:rFonts w:hint="eastAsia" w:ascii="Segoe UI" w:hAnsi="Segoe UI" w:eastAsia="宋体" w:cs="Segoe UI"/>
          <w:b/>
          <w:bCs/>
          <w:i w:val="0"/>
          <w:iCs w:val="0"/>
          <w:caps w:val="0"/>
          <w:color w:val="FF0000"/>
          <w:spacing w:val="0"/>
          <w:sz w:val="24"/>
          <w:szCs w:val="24"/>
          <w:shd w:val="clear" w:color="auto" w:fill="FFFFFF"/>
          <w:lang w:val="en-US" w:eastAsia="zh-CN"/>
        </w:rPr>
        <w:t>中标人</w:t>
      </w:r>
      <w:r>
        <w:rPr>
          <w:rFonts w:hint="default" w:ascii="Segoe UI" w:hAnsi="Segoe UI" w:eastAsia="Segoe UI" w:cs="Segoe UI"/>
          <w:b/>
          <w:bCs/>
          <w:i w:val="0"/>
          <w:iCs w:val="0"/>
          <w:caps w:val="0"/>
          <w:color w:val="FF0000"/>
          <w:spacing w:val="0"/>
          <w:sz w:val="24"/>
          <w:szCs w:val="24"/>
          <w:shd w:val="clear" w:color="auto" w:fill="FFFFFF"/>
        </w:rPr>
        <w:t>提供的合法有效增值税专用发票后30个工作日内</w:t>
      </w:r>
      <w:r>
        <w:rPr>
          <w:rFonts w:hint="default" w:ascii="Segoe UI" w:hAnsi="Segoe UI" w:eastAsia="Segoe UI" w:cs="Segoe UI"/>
          <w:i w:val="0"/>
          <w:iCs w:val="0"/>
          <w:caps w:val="0"/>
          <w:color w:val="FF0000"/>
          <w:spacing w:val="0"/>
          <w:sz w:val="24"/>
          <w:szCs w:val="24"/>
          <w:shd w:val="clear" w:color="auto" w:fill="FFFFFF"/>
        </w:rPr>
        <w:t>，支付合同总金额的95%；剩余5%在项目验收合格</w:t>
      </w:r>
      <w:r>
        <w:rPr>
          <w:rFonts w:hint="eastAsia" w:ascii="Segoe UI" w:hAnsi="Segoe UI" w:eastAsia="宋体" w:cs="Segoe UI"/>
          <w:i w:val="0"/>
          <w:iCs w:val="0"/>
          <w:caps w:val="0"/>
          <w:color w:val="FF0000"/>
          <w:spacing w:val="0"/>
          <w:sz w:val="24"/>
          <w:szCs w:val="24"/>
          <w:shd w:val="clear" w:color="auto" w:fill="FFFFFF"/>
          <w:lang w:val="en-US" w:eastAsia="zh-CN"/>
        </w:rPr>
        <w:t>满</w:t>
      </w:r>
      <w:r>
        <w:rPr>
          <w:rFonts w:hint="default" w:ascii="Segoe UI" w:hAnsi="Segoe UI" w:eastAsia="Segoe UI" w:cs="Segoe UI"/>
          <w:i w:val="0"/>
          <w:iCs w:val="0"/>
          <w:caps w:val="0"/>
          <w:color w:val="FF0000"/>
          <w:spacing w:val="0"/>
          <w:sz w:val="24"/>
          <w:szCs w:val="24"/>
          <w:shd w:val="clear" w:color="auto" w:fill="FFFFFF"/>
        </w:rPr>
        <w:t>一年内，</w:t>
      </w:r>
      <w:r>
        <w:rPr>
          <w:rFonts w:hint="default" w:ascii="Segoe UI" w:hAnsi="Segoe UI" w:eastAsia="Segoe UI" w:cs="Segoe UI"/>
          <w:b/>
          <w:bCs/>
          <w:i w:val="0"/>
          <w:iCs w:val="0"/>
          <w:caps w:val="0"/>
          <w:color w:val="FF0000"/>
          <w:spacing w:val="0"/>
          <w:sz w:val="24"/>
          <w:szCs w:val="24"/>
          <w:shd w:val="clear" w:color="auto" w:fill="FFFFFF"/>
        </w:rPr>
        <w:t>甲方在收到</w:t>
      </w:r>
      <w:r>
        <w:rPr>
          <w:rFonts w:hint="eastAsia" w:ascii="Segoe UI" w:hAnsi="Segoe UI" w:eastAsia="宋体" w:cs="Segoe UI"/>
          <w:b/>
          <w:bCs/>
          <w:i w:val="0"/>
          <w:iCs w:val="0"/>
          <w:caps w:val="0"/>
          <w:color w:val="FF0000"/>
          <w:spacing w:val="0"/>
          <w:sz w:val="24"/>
          <w:szCs w:val="24"/>
          <w:shd w:val="clear" w:color="auto" w:fill="FFFFFF"/>
          <w:lang w:val="en-US" w:eastAsia="zh-CN"/>
        </w:rPr>
        <w:t>中标人</w:t>
      </w:r>
      <w:r>
        <w:rPr>
          <w:rFonts w:hint="default" w:ascii="Segoe UI" w:hAnsi="Segoe UI" w:eastAsia="Segoe UI" w:cs="Segoe UI"/>
          <w:b/>
          <w:bCs/>
          <w:i w:val="0"/>
          <w:iCs w:val="0"/>
          <w:caps w:val="0"/>
          <w:color w:val="FF0000"/>
          <w:spacing w:val="0"/>
          <w:sz w:val="24"/>
          <w:szCs w:val="24"/>
          <w:shd w:val="clear" w:color="auto" w:fill="FFFFFF"/>
        </w:rPr>
        <w:t>相应发票后30个工作日内</w:t>
      </w:r>
      <w:r>
        <w:rPr>
          <w:rFonts w:hint="default" w:ascii="Segoe UI" w:hAnsi="Segoe UI" w:eastAsia="Segoe UI" w:cs="Segoe UI"/>
          <w:i w:val="0"/>
          <w:iCs w:val="0"/>
          <w:caps w:val="0"/>
          <w:color w:val="FF0000"/>
          <w:spacing w:val="0"/>
          <w:sz w:val="24"/>
          <w:szCs w:val="24"/>
          <w:shd w:val="clear" w:color="auto" w:fill="FFFFFF"/>
        </w:rPr>
        <w:t>付清。</w:t>
      </w:r>
    </w:p>
    <w:p w14:paraId="5ED99256">
      <w:pPr>
        <w:shd w:val="clear" w:color="auto" w:fill="auto"/>
        <w:autoSpaceDE w:val="0"/>
        <w:autoSpaceDN w:val="0"/>
        <w:adjustRightInd w:val="0"/>
        <w:snapToGrid w:val="0"/>
        <w:spacing w:line="360" w:lineRule="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val="zh-CN"/>
        </w:rPr>
        <w:t>）交货包装</w:t>
      </w:r>
    </w:p>
    <w:p w14:paraId="19CB3A5C">
      <w:pPr>
        <w:shd w:val="clear" w:color="auto" w:fill="auto"/>
        <w:autoSpaceDE w:val="0"/>
        <w:autoSpaceDN w:val="0"/>
        <w:adjustRightInd w:val="0"/>
        <w:snapToGri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szCs w:val="24"/>
          <w:highlight w:val="none"/>
          <w:lang w:val="zh-CN"/>
        </w:rPr>
        <w:t>提供的全部货物均应按标准保护措施进行包装，这类包装应适应于远距离运输、防潮、防震、防锈和防野蛮装卸，以确保货物安全无损运抵指定现场。由于包装不善所引起的货物锈蚀、损坏和损失均由</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szCs w:val="24"/>
          <w:highlight w:val="none"/>
          <w:lang w:val="zh-CN"/>
        </w:rPr>
        <w:t>负责。</w:t>
      </w:r>
    </w:p>
    <w:p w14:paraId="17723630">
      <w:pPr>
        <w:shd w:val="clear" w:color="auto" w:fill="auto"/>
        <w:autoSpaceDE w:val="0"/>
        <w:autoSpaceDN w:val="0"/>
        <w:adjustRightInd w:val="0"/>
        <w:snapToGri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szCs w:val="24"/>
          <w:highlight w:val="none"/>
          <w:lang w:val="zh-CN"/>
        </w:rPr>
        <w:t>交货时，须提供设备的全部资料，如产品合格证、装箱单、使用说明书等。</w:t>
      </w:r>
    </w:p>
    <w:p w14:paraId="3664CB4A">
      <w:pPr>
        <w:shd w:val="clear" w:color="auto" w:fill="auto"/>
        <w:autoSpaceDE w:val="0"/>
        <w:autoSpaceDN w:val="0"/>
        <w:adjustRightInd w:val="0"/>
        <w:snapToGri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szCs w:val="24"/>
          <w:highlight w:val="none"/>
          <w:lang w:val="zh-CN"/>
        </w:rPr>
        <w:t>提供的全部货物所有附件必须都配备齐全，所供货设备外包箱注明用户信息，原厂设备完整，不得折封，以上参数如有不符直接退货。</w:t>
      </w:r>
    </w:p>
    <w:p w14:paraId="709A3814">
      <w:pPr>
        <w:shd w:val="clear" w:color="auto" w:fill="auto"/>
        <w:autoSpaceDE w:val="0"/>
        <w:autoSpaceDN w:val="0"/>
        <w:adjustRightInd w:val="0"/>
        <w:snapToGri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4.如果</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szCs w:val="24"/>
          <w:highlight w:val="none"/>
          <w:lang w:val="zh-CN"/>
        </w:rPr>
        <w:t>没有按照合同规定或采购人同意延长的时间交货，每延期一天，按合同总金额的1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CN"/>
        </w:rPr>
        <w:t>交付违约金；如果</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szCs w:val="24"/>
          <w:highlight w:val="none"/>
          <w:lang w:val="zh-CN"/>
        </w:rPr>
        <w:t>在达到最高限额（合同总额5%）后仍不能交付的，采购人可终止合同，因此产生的一切经济损失由</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szCs w:val="24"/>
          <w:highlight w:val="none"/>
          <w:lang w:val="zh-CN"/>
        </w:rPr>
        <w:t xml:space="preserve">承担；因质量问题延期交付设备时，按延期交付产品处理。 </w:t>
      </w:r>
    </w:p>
    <w:p w14:paraId="1C71AF26">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textAlignment w:val="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lang w:val="zh-CN"/>
        </w:rPr>
        <w:t>）安装、验收</w:t>
      </w:r>
    </w:p>
    <w:p w14:paraId="2F9C7E7F">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highlight w:val="none"/>
        </w:rPr>
        <w:t>在交货截止时间（或采购方规定的时间）内交货，有关运输和保险的一切费用由</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highlight w:val="none"/>
        </w:rPr>
        <w:t>承担。所有货物运抵现场并验收合格后的日期为交货日期。</w:t>
      </w:r>
    </w:p>
    <w:p w14:paraId="4F933894">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480" w:firstLineChars="200"/>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2.货物到现场后，采购人（或其授权代表）、</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highlight w:val="none"/>
        </w:rPr>
        <w:t>组织相关人员共同对到货货物的数量、外观、包装质量、技术资料等进行检查；</w:t>
      </w:r>
      <w:r>
        <w:rPr>
          <w:rFonts w:hint="eastAsia" w:ascii="宋体" w:hAnsi="宋体" w:eastAsia="宋体" w:cs="宋体"/>
          <w:b/>
          <w:bCs/>
          <w:color w:val="auto"/>
          <w:sz w:val="24"/>
          <w:highlight w:val="none"/>
        </w:rPr>
        <w:t xml:space="preserve"> </w:t>
      </w:r>
    </w:p>
    <w:p w14:paraId="67A3C4AE">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3.货物供货完成以后，在7个工作日内由采购人或组织技术专家或委托第三方专业机构对货物依照</w:t>
      </w:r>
      <w:r>
        <w:rPr>
          <w:rFonts w:hint="eastAsia" w:ascii="宋体" w:hAnsi="宋体" w:cs="宋体"/>
          <w:color w:val="auto"/>
          <w:sz w:val="24"/>
          <w:highlight w:val="none"/>
          <w:lang w:val="en-US" w:eastAsia="zh-CN"/>
        </w:rPr>
        <w:t>招标</w:t>
      </w:r>
      <w:r>
        <w:rPr>
          <w:rFonts w:hint="eastAsia" w:ascii="宋体" w:hAnsi="宋体" w:eastAsia="宋体" w:cs="宋体"/>
          <w:color w:val="auto"/>
          <w:sz w:val="24"/>
          <w:highlight w:val="none"/>
        </w:rPr>
        <w:t>文件上的技术规格要求、以及国家有关标准进行验收；货物性能达到技术要求的，给予</w:t>
      </w:r>
      <w:r>
        <w:rPr>
          <w:rFonts w:hint="eastAsia" w:ascii="宋体" w:hAnsi="宋体" w:cs="宋体"/>
          <w:color w:val="auto"/>
          <w:sz w:val="24"/>
          <w:highlight w:val="none"/>
          <w:lang w:val="en-US" w:eastAsia="zh-CN"/>
        </w:rPr>
        <w:t>通过验收</w:t>
      </w:r>
      <w:r>
        <w:rPr>
          <w:rFonts w:hint="eastAsia" w:ascii="宋体" w:hAnsi="宋体" w:eastAsia="宋体" w:cs="宋体"/>
          <w:color w:val="auto"/>
          <w:sz w:val="24"/>
          <w:highlight w:val="none"/>
        </w:rPr>
        <w:t>；验收合格后由采购人（或其授权代表）签署确认验收合格文件（一式四份）；全部技术资料等应当在验收合格后移交用户单位（业主）。验收时如发现货物的质量、性能不符合采购文件规定标准的，本项目采购人有权在货物验收时予以拒收；因此产生的一切经济损失由</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highlight w:val="none"/>
        </w:rPr>
        <w:t>承担；</w:t>
      </w:r>
    </w:p>
    <w:p w14:paraId="7EA88080">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4.交付验收标准：依次序对照适用标准为：</w:t>
      </w:r>
    </w:p>
    <w:p w14:paraId="30CD22F6">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840" w:firstLineChars="35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①符合中华人民共和国国家安全质量标准、环保标准或行业标准；</w:t>
      </w:r>
    </w:p>
    <w:p w14:paraId="13528128">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840" w:firstLineChars="35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②符合</w:t>
      </w:r>
      <w:r>
        <w:rPr>
          <w:rFonts w:hint="eastAsia" w:ascii="宋体" w:hAnsi="宋体" w:cs="宋体"/>
          <w:color w:val="auto"/>
          <w:sz w:val="24"/>
          <w:highlight w:val="none"/>
          <w:lang w:val="en-US" w:eastAsia="zh-CN"/>
        </w:rPr>
        <w:t>招标</w:t>
      </w:r>
      <w:r>
        <w:rPr>
          <w:rFonts w:hint="eastAsia" w:ascii="宋体" w:hAnsi="宋体" w:eastAsia="宋体" w:cs="宋体"/>
          <w:color w:val="auto"/>
          <w:sz w:val="24"/>
          <w:highlight w:val="none"/>
        </w:rPr>
        <w:t>文件和投标承诺中采购人认可的合理最佳配置、参数及各项要求；</w:t>
      </w:r>
    </w:p>
    <w:p w14:paraId="32D18775">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840" w:firstLineChars="35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③货物来源国官方标准。</w:t>
      </w:r>
    </w:p>
    <w:p w14:paraId="4C8483E7">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840" w:firstLineChars="35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上述标准必须是有关官方机构发布的最新版本的标准；</w:t>
      </w:r>
    </w:p>
    <w:p w14:paraId="3A71173A">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highlight w:val="none"/>
        </w:rPr>
        <w:t>须为验收提供必需的设备、工具及其他便利条件；</w:t>
      </w:r>
    </w:p>
    <w:p w14:paraId="7BC516F5">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464" w:firstLineChars="200"/>
        <w:textAlignment w:val="auto"/>
        <w:rPr>
          <w:rFonts w:hint="eastAsia" w:ascii="宋体" w:hAnsi="宋体" w:eastAsia="宋体" w:cs="宋体"/>
          <w:color w:val="auto"/>
          <w:spacing w:val="-4"/>
          <w:sz w:val="24"/>
          <w:highlight w:val="none"/>
        </w:rPr>
      </w:pPr>
      <w:r>
        <w:rPr>
          <w:rFonts w:hint="eastAsia" w:ascii="宋体" w:hAnsi="宋体" w:eastAsia="宋体" w:cs="宋体"/>
          <w:color w:val="auto"/>
          <w:spacing w:val="-4"/>
          <w:sz w:val="24"/>
          <w:highlight w:val="none"/>
        </w:rPr>
        <w:t>6.在验收过程中发现数量不足或有质量、技术等问题，</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pacing w:val="-4"/>
          <w:sz w:val="24"/>
          <w:highlight w:val="none"/>
        </w:rPr>
        <w:t>应负责按照采购人的要求采取补足、更换或退货等措施妥善处理，并承担由此发生的一切费用和损失；</w:t>
      </w:r>
    </w:p>
    <w:p w14:paraId="6CCBBB8E">
      <w:pPr>
        <w:keepNext w:val="0"/>
        <w:keepLines w:val="0"/>
        <w:pageBreakBefore w:val="0"/>
        <w:widowControl w:val="0"/>
        <w:shd w:val="clear" w:color="auto" w:fill="auto"/>
        <w:kinsoku/>
        <w:wordWrap/>
        <w:overflowPunct/>
        <w:topLinePunct w:val="0"/>
        <w:autoSpaceDE w:val="0"/>
        <w:autoSpaceDN w:val="0"/>
        <w:bidi w:val="0"/>
        <w:adjustRightInd w:val="0"/>
        <w:snapToGrid w:val="0"/>
        <w:spacing w:line="40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7.对于不合格的货物，</w:t>
      </w:r>
      <w:r>
        <w:rPr>
          <w:rFonts w:hint="eastAsia" w:ascii="宋体" w:hAnsi="宋体" w:cs="宋体"/>
          <w:color w:val="auto"/>
          <w:sz w:val="24"/>
          <w:szCs w:val="24"/>
          <w:highlight w:val="none"/>
          <w:lang w:val="en-US" w:eastAsia="zh-CN"/>
        </w:rPr>
        <w:t>中标人</w:t>
      </w:r>
      <w:r>
        <w:rPr>
          <w:rFonts w:hint="eastAsia" w:ascii="宋体" w:hAnsi="宋体" w:eastAsia="宋体" w:cs="宋体"/>
          <w:color w:val="auto"/>
          <w:sz w:val="24"/>
          <w:highlight w:val="none"/>
        </w:rPr>
        <w:t>必须在7个工作日里及时完成更换并重新对更换货物进行验收。</w:t>
      </w:r>
    </w:p>
    <w:p w14:paraId="74DF6286">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lang w:val="en-US" w:eastAsia="zh-CN"/>
        </w:rPr>
        <w:t>六</w:t>
      </w:r>
      <w:r>
        <w:rPr>
          <w:rFonts w:hint="eastAsia" w:ascii="宋体" w:hAnsi="宋体" w:eastAsia="宋体" w:cs="宋体"/>
          <w:b/>
          <w:bCs/>
          <w:color w:val="auto"/>
          <w:sz w:val="24"/>
          <w:szCs w:val="24"/>
          <w:highlight w:val="none"/>
          <w:lang w:val="zh-CN"/>
        </w:rPr>
        <w:t>）其它要求</w:t>
      </w:r>
    </w:p>
    <w:p w14:paraId="50368973">
      <w:pPr>
        <w:keepNext w:val="0"/>
        <w:keepLines w:val="0"/>
        <w:pageBreakBefore w:val="0"/>
        <w:widowControl w:val="0"/>
        <w:shd w:val="clear" w:color="auto" w:fill="auto"/>
        <w:kinsoku/>
        <w:wordWrap/>
        <w:overflowPunct/>
        <w:topLinePunct w:val="0"/>
        <w:autoSpaceDE w:val="0"/>
        <w:autoSpaceDN w:val="0"/>
        <w:bidi w:val="0"/>
        <w:snapToGrid w:val="0"/>
        <w:spacing w:line="360" w:lineRule="auto"/>
        <w:ind w:firstLine="566" w:firstLineChars="23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应该认真咨询、实地勘察，了解标的现状，并仔细阅读本次招标所提供的相关资料及特别规定。供应商参加投标，即表明供应商对标的的情况和特别规定的认可，投标成功后不得以未咨询或对标的不了解而提出异议或反悔。</w:t>
      </w:r>
    </w:p>
    <w:p w14:paraId="2CD2D908">
      <w:pPr>
        <w:keepNext w:val="0"/>
        <w:keepLines w:val="0"/>
        <w:pageBreakBefore w:val="0"/>
        <w:widowControl w:val="0"/>
        <w:shd w:val="clear" w:color="auto" w:fill="auto"/>
        <w:kinsoku/>
        <w:wordWrap/>
        <w:overflowPunct/>
        <w:topLinePunct w:val="0"/>
        <w:autoSpaceDE w:val="0"/>
        <w:autoSpaceDN w:val="0"/>
        <w:bidi w:val="0"/>
        <w:snapToGrid w:val="0"/>
        <w:spacing w:line="360" w:lineRule="auto"/>
        <w:ind w:firstLine="566" w:firstLineChars="23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交供应商应保证采购人在中华人民共和国使用成交供应商所提供的货物或货物的任何一部分时，免受第三方提出的侵犯其专利权、商标权的起诉；如果任何第三方提出侵权指控，成交供应商承担一切与之有关的责任。</w:t>
      </w:r>
    </w:p>
    <w:p w14:paraId="732409B7">
      <w:pPr>
        <w:keepNext w:val="0"/>
        <w:keepLines w:val="0"/>
        <w:pageBreakBefore w:val="0"/>
        <w:widowControl w:val="0"/>
        <w:shd w:val="clear" w:color="auto" w:fill="auto"/>
        <w:kinsoku/>
        <w:wordWrap/>
        <w:overflowPunct/>
        <w:topLinePunct w:val="0"/>
        <w:bidi w:val="0"/>
        <w:snapToGrid w:val="0"/>
        <w:spacing w:line="360" w:lineRule="auto"/>
        <w:ind w:left="239" w:leftChars="114"/>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成交供应商在履行合同时，应按照民法典用工，若出现员工不符合办理“五项保险”条件时，成交供应商应给予上述员工办理有关“商业保险中的意外伤害险”，且意外伤害险所赔付的保额不得低于当期工伤保险的赔付额。</w:t>
      </w:r>
    </w:p>
    <w:p w14:paraId="1C7E4528">
      <w:pPr>
        <w:keepNext w:val="0"/>
        <w:keepLines w:val="0"/>
        <w:pageBreakBefore w:val="0"/>
        <w:widowControl w:val="0"/>
        <w:shd w:val="clear" w:color="auto" w:fill="auto"/>
        <w:kinsoku/>
        <w:wordWrap/>
        <w:overflowPunct/>
        <w:topLinePunct w:val="0"/>
        <w:bidi w:val="0"/>
        <w:snapToGrid w:val="0"/>
        <w:spacing w:line="360" w:lineRule="auto"/>
        <w:ind w:left="239" w:leftChars="114" w:firstLine="480" w:firstLineChars="200"/>
        <w:textAlignment w:val="auto"/>
        <w:rPr>
          <w:rFonts w:hint="eastAsia" w:ascii="宋体" w:hAnsi="宋体" w:eastAsia="宋体" w:cs="宋体"/>
          <w:color w:val="auto"/>
          <w:kern w:val="1"/>
          <w:sz w:val="24"/>
          <w:szCs w:val="24"/>
          <w:highlight w:val="none"/>
        </w:rPr>
      </w:pPr>
      <w:r>
        <w:rPr>
          <w:rFonts w:hint="eastAsia" w:ascii="宋体" w:hAnsi="宋体" w:eastAsia="宋体" w:cs="宋体"/>
          <w:color w:val="auto"/>
          <w:sz w:val="24"/>
          <w:szCs w:val="24"/>
          <w:highlight w:val="none"/>
        </w:rPr>
        <w:t>4、成交供应商</w:t>
      </w:r>
      <w:r>
        <w:rPr>
          <w:rFonts w:hint="eastAsia" w:ascii="宋体" w:hAnsi="宋体" w:eastAsia="宋体" w:cs="宋体"/>
          <w:color w:val="auto"/>
          <w:kern w:val="1"/>
          <w:sz w:val="24"/>
          <w:szCs w:val="24"/>
          <w:highlight w:val="none"/>
        </w:rPr>
        <w:t>在履行合同期间，应对</w:t>
      </w:r>
      <w:r>
        <w:rPr>
          <w:rFonts w:hint="eastAsia" w:ascii="宋体" w:hAnsi="宋体" w:eastAsia="宋体" w:cs="宋体"/>
          <w:color w:val="auto"/>
          <w:sz w:val="24"/>
          <w:szCs w:val="24"/>
          <w:highlight w:val="none"/>
        </w:rPr>
        <w:t>成交供应商</w:t>
      </w:r>
      <w:r>
        <w:rPr>
          <w:rFonts w:hint="eastAsia" w:ascii="宋体" w:hAnsi="宋体" w:eastAsia="宋体" w:cs="宋体"/>
          <w:color w:val="auto"/>
          <w:kern w:val="1"/>
          <w:sz w:val="24"/>
          <w:szCs w:val="24"/>
          <w:highlight w:val="none"/>
        </w:rPr>
        <w:t>（或其雇佣人员）的疏忽、故意或过失而造成采购人的直接或间接损失、第三者的财产损失及安全责任事故等负责，并承担相应费用。</w:t>
      </w:r>
    </w:p>
    <w:p w14:paraId="08A1BA1B">
      <w:pPr>
        <w:keepNext w:val="0"/>
        <w:keepLines w:val="0"/>
        <w:pageBreakBefore w:val="0"/>
        <w:widowControl w:val="0"/>
        <w:kinsoku/>
        <w:wordWrap/>
        <w:overflowPunct/>
        <w:topLinePunct w:val="0"/>
        <w:autoSpaceDE w:val="0"/>
        <w:autoSpaceDN w:val="0"/>
        <w:bidi w:val="0"/>
        <w:snapToGrid w:val="0"/>
        <w:spacing w:line="360" w:lineRule="auto"/>
        <w:ind w:left="120" w:leftChars="57" w:firstLine="564" w:firstLineChars="2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5、其他未尽事宜可在合同中约定。</w:t>
      </w:r>
      <w:r>
        <w:rPr>
          <w:rFonts w:hint="eastAsia" w:ascii="宋体" w:hAnsi="宋体" w:eastAsia="宋体" w:cs="宋体"/>
          <w:b/>
          <w:bCs/>
          <w:color w:val="auto"/>
          <w:sz w:val="32"/>
          <w:szCs w:val="32"/>
          <w:highlight w:val="none"/>
          <w:lang w:val="zh-CN"/>
        </w:rPr>
        <w:t xml:space="preserve">  </w:t>
      </w:r>
    </w:p>
    <w:p w14:paraId="2FAE7BC5">
      <w:pPr>
        <w:widowControl/>
        <w:shd w:val="clear" w:color="auto" w:fill="auto"/>
        <w:adjustRightInd w:val="0"/>
        <w:snapToGrid w:val="0"/>
        <w:spacing w:line="288" w:lineRule="auto"/>
        <w:jc w:val="center"/>
        <w:outlineLvl w:val="0"/>
        <w:rPr>
          <w:rFonts w:ascii="宋体" w:hAnsi="宋体" w:eastAsia="宋体" w:cs="宋体"/>
          <w:spacing w:val="-1"/>
          <w:position w:val="15"/>
          <w:sz w:val="28"/>
          <w:szCs w:val="28"/>
          <w:lang w:eastAsia="zh-CN"/>
        </w:rPr>
      </w:pPr>
    </w:p>
    <w:p w14:paraId="7E2AA3A0">
      <w:pPr>
        <w:widowControl/>
        <w:shd w:val="clear" w:color="auto" w:fill="auto"/>
        <w:adjustRightInd w:val="0"/>
        <w:snapToGrid w:val="0"/>
        <w:spacing w:line="288" w:lineRule="auto"/>
        <w:jc w:val="center"/>
        <w:outlineLvl w:val="0"/>
        <w:rPr>
          <w:rFonts w:ascii="宋体" w:hAnsi="宋体" w:eastAsia="宋体" w:cs="宋体"/>
          <w:spacing w:val="-1"/>
          <w:position w:val="15"/>
          <w:sz w:val="28"/>
          <w:szCs w:val="28"/>
          <w:lang w:eastAsia="zh-CN"/>
        </w:rPr>
      </w:pPr>
    </w:p>
    <w:p w14:paraId="57C91601">
      <w:pPr>
        <w:widowControl/>
        <w:shd w:val="clear" w:color="auto" w:fill="auto"/>
        <w:adjustRightInd w:val="0"/>
        <w:snapToGrid w:val="0"/>
        <w:spacing w:line="288" w:lineRule="auto"/>
        <w:jc w:val="center"/>
        <w:outlineLvl w:val="0"/>
        <w:rPr>
          <w:rFonts w:ascii="宋体" w:hAnsi="宋体" w:eastAsia="宋体" w:cs="宋体"/>
          <w:spacing w:val="-1"/>
          <w:position w:val="15"/>
          <w:sz w:val="28"/>
          <w:szCs w:val="28"/>
          <w:lang w:eastAsia="zh-CN"/>
        </w:rPr>
      </w:pPr>
    </w:p>
    <w:p w14:paraId="490027DD">
      <w:pPr>
        <w:widowControl/>
        <w:shd w:val="clear" w:color="auto" w:fill="auto"/>
        <w:adjustRightInd w:val="0"/>
        <w:snapToGrid w:val="0"/>
        <w:spacing w:line="288" w:lineRule="auto"/>
        <w:jc w:val="center"/>
        <w:outlineLvl w:val="0"/>
        <w:rPr>
          <w:rFonts w:ascii="宋体" w:hAnsi="宋体" w:eastAsia="宋体" w:cs="宋体"/>
          <w:spacing w:val="-1"/>
          <w:position w:val="15"/>
          <w:sz w:val="28"/>
          <w:szCs w:val="28"/>
          <w:lang w:eastAsia="zh-CN"/>
        </w:rPr>
      </w:pPr>
    </w:p>
    <w:p w14:paraId="002AF124">
      <w:pPr>
        <w:widowControl/>
        <w:shd w:val="clear" w:color="auto" w:fill="auto"/>
        <w:adjustRightInd w:val="0"/>
        <w:snapToGrid w:val="0"/>
        <w:spacing w:line="288" w:lineRule="auto"/>
        <w:jc w:val="center"/>
        <w:outlineLvl w:val="0"/>
        <w:rPr>
          <w:rFonts w:ascii="宋体" w:hAnsi="宋体" w:eastAsia="宋体" w:cs="宋体"/>
          <w:spacing w:val="-1"/>
          <w:position w:val="15"/>
          <w:sz w:val="28"/>
          <w:szCs w:val="28"/>
          <w:lang w:eastAsia="zh-CN"/>
        </w:rPr>
      </w:pPr>
    </w:p>
    <w:p w14:paraId="5BC25691">
      <w:pPr>
        <w:widowControl/>
        <w:shd w:val="clear" w:color="auto" w:fill="auto"/>
        <w:adjustRightInd w:val="0"/>
        <w:snapToGrid w:val="0"/>
        <w:spacing w:line="288" w:lineRule="auto"/>
        <w:jc w:val="center"/>
        <w:outlineLvl w:val="0"/>
        <w:rPr>
          <w:rFonts w:hint="eastAsia" w:ascii="宋体" w:hAnsi="宋体" w:eastAsia="宋体" w:cs="宋体"/>
          <w:b/>
          <w:bCs/>
          <w:color w:val="auto"/>
          <w:sz w:val="40"/>
          <w:highlight w:val="none"/>
          <w:lang w:val="en-US" w:eastAsia="zh-CN"/>
        </w:rPr>
      </w:pPr>
    </w:p>
    <w:p w14:paraId="2559F7F6">
      <w:pPr>
        <w:widowControl/>
        <w:shd w:val="clear" w:color="auto" w:fill="auto"/>
        <w:adjustRightInd w:val="0"/>
        <w:snapToGrid w:val="0"/>
        <w:spacing w:line="288" w:lineRule="auto"/>
        <w:jc w:val="center"/>
        <w:outlineLvl w:val="0"/>
        <w:rPr>
          <w:rFonts w:hint="eastAsia" w:ascii="宋体" w:hAnsi="宋体" w:eastAsia="宋体" w:cs="宋体"/>
          <w:b/>
          <w:bCs/>
          <w:color w:val="auto"/>
          <w:sz w:val="40"/>
          <w:highlight w:val="none"/>
          <w:lang w:val="en-US" w:eastAsia="zh-CN"/>
        </w:rPr>
      </w:pPr>
    </w:p>
    <w:p w14:paraId="5B63955D">
      <w:pPr>
        <w:widowControl/>
        <w:shd w:val="clear" w:color="auto" w:fill="auto"/>
        <w:adjustRightInd w:val="0"/>
        <w:snapToGrid w:val="0"/>
        <w:spacing w:line="288" w:lineRule="auto"/>
        <w:jc w:val="center"/>
        <w:outlineLvl w:val="0"/>
        <w:rPr>
          <w:rFonts w:hint="eastAsia" w:ascii="宋体" w:hAnsi="宋体" w:eastAsia="宋体" w:cs="宋体"/>
          <w:b/>
          <w:bCs/>
          <w:color w:val="auto"/>
          <w:sz w:val="40"/>
          <w:highlight w:val="none"/>
          <w:lang w:val="en-US" w:eastAsia="zh-CN"/>
        </w:rPr>
      </w:pPr>
    </w:p>
    <w:p w14:paraId="5DCDA548">
      <w:pPr>
        <w:widowControl/>
        <w:shd w:val="clear" w:color="auto" w:fill="auto"/>
        <w:adjustRightInd w:val="0"/>
        <w:snapToGrid w:val="0"/>
        <w:spacing w:line="288" w:lineRule="auto"/>
        <w:jc w:val="center"/>
        <w:outlineLvl w:val="0"/>
        <w:rPr>
          <w:rFonts w:hint="eastAsia" w:ascii="宋体" w:hAnsi="宋体" w:eastAsia="宋体" w:cs="宋体"/>
          <w:b/>
          <w:bCs/>
          <w:color w:val="auto"/>
          <w:sz w:val="40"/>
          <w:highlight w:val="none"/>
          <w:lang w:val="en-US" w:eastAsia="zh-CN"/>
        </w:rPr>
      </w:pPr>
    </w:p>
    <w:p w14:paraId="5246B9A3">
      <w:pPr>
        <w:widowControl/>
        <w:shd w:val="clear" w:color="auto" w:fill="auto"/>
        <w:adjustRightInd w:val="0"/>
        <w:snapToGrid w:val="0"/>
        <w:spacing w:line="288" w:lineRule="auto"/>
        <w:jc w:val="center"/>
        <w:outlineLvl w:val="0"/>
        <w:rPr>
          <w:rFonts w:hint="eastAsia" w:ascii="宋体" w:hAnsi="宋体" w:eastAsia="宋体" w:cs="宋体"/>
          <w:b/>
          <w:bCs/>
          <w:color w:val="auto"/>
          <w:sz w:val="40"/>
          <w:highlight w:val="none"/>
          <w:lang w:val="en-US" w:eastAsia="zh-CN"/>
        </w:rPr>
      </w:pPr>
      <w:r>
        <w:rPr>
          <w:rFonts w:hint="eastAsia" w:ascii="宋体" w:hAnsi="宋体" w:eastAsia="宋体" w:cs="宋体"/>
          <w:b/>
          <w:bCs/>
          <w:color w:val="auto"/>
          <w:sz w:val="40"/>
          <w:highlight w:val="none"/>
          <w:lang w:val="en-US" w:eastAsia="zh-CN"/>
        </w:rPr>
        <w:t>第六部分  评审标准</w:t>
      </w:r>
      <w:bookmarkEnd w:id="0"/>
    </w:p>
    <w:p w14:paraId="76B0D0BA">
      <w:pPr>
        <w:numPr>
          <w:ilvl w:val="0"/>
          <w:numId w:val="0"/>
        </w:numPr>
        <w:shd w:val="clear" w:color="auto" w:fill="auto"/>
        <w:spacing w:line="360" w:lineRule="auto"/>
        <w:ind w:firstLine="480" w:firstLineChars="200"/>
        <w:rPr>
          <w:rFonts w:hint="eastAsia" w:ascii="宋体" w:hAnsi="宋体" w:eastAsia="宋体" w:cs="宋体"/>
          <w:b/>
          <w:bCs/>
          <w:color w:val="auto"/>
          <w:kern w:val="2"/>
          <w:sz w:val="24"/>
          <w:szCs w:val="21"/>
          <w:highlight w:val="none"/>
          <w:lang w:val="en-US" w:eastAsia="zh-CN" w:bidi="ar-SA"/>
        </w:rPr>
      </w:pPr>
      <w:r>
        <w:rPr>
          <w:rFonts w:hint="eastAsia" w:ascii="宋体" w:hAnsi="宋体" w:eastAsia="宋体" w:cs="宋体"/>
          <w:color w:val="auto"/>
          <w:sz w:val="24"/>
          <w:szCs w:val="24"/>
          <w:highlight w:val="none"/>
        </w:rPr>
        <w:t>评标委员会应当按照招标文件中规定的评标方法和标准，对符合性审查合格的投标文件进行商务和技术评估，综合比较与评价。</w:t>
      </w:r>
    </w:p>
    <w:tbl>
      <w:tblPr>
        <w:tblStyle w:val="19"/>
        <w:tblpPr w:leftFromText="180" w:rightFromText="180" w:vertAnchor="text" w:horzAnchor="page" w:tblpX="789" w:tblpY="30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1064"/>
        <w:gridCol w:w="7496"/>
        <w:gridCol w:w="873"/>
      </w:tblGrid>
      <w:tr w14:paraId="077E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90" w:type="dxa"/>
            <w:gridSpan w:val="2"/>
            <w:noWrap w:val="0"/>
            <w:vAlign w:val="center"/>
          </w:tcPr>
          <w:p w14:paraId="32D2672F">
            <w:pPr>
              <w:pStyle w:val="18"/>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b/>
                <w:bCs/>
                <w:sz w:val="24"/>
                <w:szCs w:val="24"/>
                <w:highlight w:val="none"/>
              </w:rPr>
              <w:t>细分项目</w:t>
            </w:r>
          </w:p>
        </w:tc>
        <w:tc>
          <w:tcPr>
            <w:tcW w:w="7496" w:type="dxa"/>
            <w:noWrap w:val="0"/>
            <w:vAlign w:val="center"/>
          </w:tcPr>
          <w:p w14:paraId="289A38CB">
            <w:pPr>
              <w:pStyle w:val="18"/>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rPr>
              <w:t>评审细则</w:t>
            </w:r>
          </w:p>
        </w:tc>
        <w:tc>
          <w:tcPr>
            <w:tcW w:w="873" w:type="dxa"/>
            <w:noWrap w:val="0"/>
            <w:vAlign w:val="center"/>
          </w:tcPr>
          <w:p w14:paraId="2D9B81CB">
            <w:pPr>
              <w:pStyle w:val="18"/>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rPr>
              <w:t>分值</w:t>
            </w:r>
          </w:p>
        </w:tc>
      </w:tr>
      <w:tr w14:paraId="1C786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90" w:type="dxa"/>
            <w:gridSpan w:val="2"/>
            <w:noWrap w:val="0"/>
            <w:vAlign w:val="center"/>
          </w:tcPr>
          <w:p w14:paraId="38CBFE43">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价格分</w:t>
            </w:r>
          </w:p>
          <w:p w14:paraId="118923A9">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15</w:t>
            </w:r>
            <w:r>
              <w:rPr>
                <w:rFonts w:hint="eastAsia" w:ascii="宋体" w:hAnsi="宋体" w:eastAsia="宋体" w:cs="宋体"/>
                <w:b/>
                <w:bCs/>
                <w:sz w:val="24"/>
                <w:szCs w:val="24"/>
                <w:highlight w:val="none"/>
              </w:rPr>
              <w:t>分）</w:t>
            </w:r>
          </w:p>
        </w:tc>
        <w:tc>
          <w:tcPr>
            <w:tcW w:w="7496" w:type="dxa"/>
            <w:noWrap w:val="0"/>
            <w:vAlign w:val="top"/>
          </w:tcPr>
          <w:p w14:paraId="46CC93D2">
            <w:pPr>
              <w:snapToGrid w:val="0"/>
              <w:spacing w:before="37" w:line="240" w:lineRule="auto"/>
              <w:ind w:left="0" w:leftChars="0" w:right="0" w:rightChars="0" w:firstLine="0" w:firstLineChars="0"/>
              <w:jc w:val="left"/>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价格分采用低价优先法计算，即满足采购文件要求且最后报价最低的投标人的价格为评标基准价，其价格分为满分。其他投标人的价格分统一按下列公式计算：</w:t>
            </w:r>
          </w:p>
          <w:p w14:paraId="7D3965F7">
            <w:pPr>
              <w:snapToGrid w:val="0"/>
              <w:spacing w:before="21" w:line="240" w:lineRule="auto"/>
              <w:ind w:left="0" w:leftChars="0" w:right="0" w:rightChars="0" w:firstLine="0" w:firstLineChars="0"/>
              <w:jc w:val="left"/>
              <w:rPr>
                <w:rFonts w:hint="eastAsia" w:ascii="宋体" w:hAnsi="宋体" w:eastAsia="宋体" w:cs="宋体"/>
                <w:spacing w:val="-5"/>
                <w:sz w:val="24"/>
                <w:szCs w:val="24"/>
                <w:highlight w:val="none"/>
              </w:rPr>
            </w:pPr>
            <w:r>
              <w:rPr>
                <w:rFonts w:hint="eastAsia" w:ascii="宋体" w:hAnsi="宋体" w:eastAsia="宋体" w:cs="宋体"/>
                <w:spacing w:val="-4"/>
                <w:sz w:val="24"/>
                <w:szCs w:val="24"/>
                <w:highlight w:val="none"/>
              </w:rPr>
              <w:t>投标报价得分=（评标基准价/最后投标报价）×</w:t>
            </w:r>
            <w:r>
              <w:rPr>
                <w:rFonts w:hint="eastAsia" w:ascii="宋体" w:hAnsi="宋体" w:eastAsia="宋体" w:cs="宋体"/>
                <w:spacing w:val="-4"/>
                <w:sz w:val="24"/>
                <w:szCs w:val="24"/>
                <w:highlight w:val="none"/>
                <w:lang w:val="en-US" w:eastAsia="zh-CN"/>
              </w:rPr>
              <w:t>15分</w:t>
            </w:r>
            <w:r>
              <w:rPr>
                <w:rFonts w:hint="eastAsia" w:ascii="宋体" w:hAnsi="宋体" w:eastAsia="宋体" w:cs="宋体"/>
                <w:spacing w:val="-5"/>
                <w:sz w:val="24"/>
                <w:szCs w:val="24"/>
                <w:highlight w:val="none"/>
              </w:rPr>
              <w:t>。</w:t>
            </w:r>
          </w:p>
          <w:p w14:paraId="1D8C24FC">
            <w:pPr>
              <w:snapToGrid w:val="0"/>
              <w:spacing w:before="21" w:line="240" w:lineRule="auto"/>
              <w:ind w:left="0" w:leftChars="0" w:right="0" w:rightChars="0" w:firstLine="0" w:firstLineChars="0"/>
              <w:jc w:val="left"/>
              <w:rPr>
                <w:rFonts w:hint="eastAsia" w:ascii="宋体" w:hAnsi="宋体" w:eastAsia="宋体" w:cs="宋体"/>
                <w:spacing w:val="-5"/>
                <w:sz w:val="24"/>
                <w:szCs w:val="24"/>
                <w:highlight w:val="none"/>
                <w:lang w:val="en-US" w:eastAsia="zh-CN"/>
              </w:rPr>
            </w:pPr>
            <w:r>
              <w:rPr>
                <w:rFonts w:hint="eastAsia" w:ascii="宋体" w:hAnsi="宋体" w:eastAsia="宋体" w:cs="宋体"/>
                <w:b/>
                <w:bCs/>
                <w:color w:val="000000"/>
                <w:sz w:val="24"/>
                <w:szCs w:val="24"/>
                <w:highlight w:val="none"/>
                <w:shd w:val="clear" w:color="auto" w:fill="auto"/>
              </w:rPr>
              <w:t>注：</w:t>
            </w: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en-US" w:eastAsia="zh-CN"/>
              </w:rPr>
              <w:t>投标</w:t>
            </w:r>
            <w:r>
              <w:rPr>
                <w:rFonts w:hint="eastAsia" w:ascii="宋体" w:hAnsi="宋体" w:eastAsia="宋体" w:cs="宋体"/>
                <w:b/>
                <w:bCs/>
                <w:color w:val="auto"/>
                <w:sz w:val="24"/>
                <w:szCs w:val="24"/>
                <w:highlight w:val="none"/>
              </w:rPr>
              <w:t>报价不得超出</w:t>
            </w:r>
            <w:r>
              <w:rPr>
                <w:rFonts w:hint="eastAsia" w:ascii="宋体" w:hAnsi="宋体" w:eastAsia="宋体" w:cs="宋体"/>
                <w:b/>
                <w:bCs/>
                <w:color w:val="auto"/>
                <w:sz w:val="24"/>
                <w:szCs w:val="24"/>
                <w:highlight w:val="none"/>
                <w:lang w:val="en-US" w:eastAsia="zh-CN"/>
              </w:rPr>
              <w:t>最高限制</w:t>
            </w:r>
            <w:r>
              <w:rPr>
                <w:rFonts w:hint="eastAsia" w:ascii="宋体" w:hAnsi="宋体" w:eastAsia="宋体" w:cs="宋体"/>
                <w:b/>
                <w:bCs/>
                <w:color w:val="auto"/>
                <w:sz w:val="24"/>
                <w:szCs w:val="24"/>
                <w:highlight w:val="none"/>
              </w:rPr>
              <w:t>单价和预算</w:t>
            </w:r>
            <w:r>
              <w:rPr>
                <w:rFonts w:hint="eastAsia" w:ascii="宋体" w:hAnsi="宋体" w:eastAsia="宋体" w:cs="宋体"/>
                <w:b/>
                <w:bCs/>
                <w:color w:val="auto"/>
                <w:sz w:val="24"/>
                <w:szCs w:val="24"/>
                <w:highlight w:val="none"/>
                <w:lang w:val="en-US" w:eastAsia="zh-CN"/>
              </w:rPr>
              <w:t>总价</w:t>
            </w:r>
            <w:r>
              <w:rPr>
                <w:rFonts w:hint="eastAsia" w:ascii="宋体" w:hAnsi="宋体" w:eastAsia="宋体" w:cs="宋体"/>
                <w:b/>
                <w:bCs/>
                <w:color w:val="auto"/>
                <w:sz w:val="24"/>
                <w:szCs w:val="24"/>
                <w:highlight w:val="none"/>
              </w:rPr>
              <w:t>，否则</w:t>
            </w:r>
            <w:r>
              <w:rPr>
                <w:rFonts w:hint="eastAsia" w:ascii="宋体" w:hAnsi="宋体" w:eastAsia="宋体" w:cs="宋体"/>
                <w:b/>
                <w:bCs/>
                <w:color w:val="auto"/>
                <w:sz w:val="24"/>
                <w:szCs w:val="24"/>
                <w:highlight w:val="none"/>
                <w:lang w:val="en-US" w:eastAsia="zh-CN"/>
              </w:rPr>
              <w:t>作</w:t>
            </w:r>
            <w:r>
              <w:rPr>
                <w:rFonts w:hint="eastAsia" w:ascii="宋体" w:hAnsi="宋体" w:eastAsia="宋体" w:cs="宋体"/>
                <w:b/>
                <w:bCs/>
                <w:color w:val="auto"/>
                <w:sz w:val="24"/>
                <w:szCs w:val="24"/>
                <w:highlight w:val="none"/>
              </w:rPr>
              <w:t>无效投标处理。2、</w:t>
            </w:r>
            <w:r>
              <w:rPr>
                <w:rFonts w:hint="eastAsia" w:ascii="宋体" w:hAnsi="宋体" w:eastAsia="宋体" w:cs="宋体"/>
                <w:b/>
                <w:bCs/>
                <w:color w:val="auto"/>
                <w:sz w:val="24"/>
                <w:szCs w:val="24"/>
                <w:highlight w:val="none"/>
                <w:lang w:val="en-US" w:eastAsia="zh-CN"/>
              </w:rPr>
              <w:t>异常低价投标情况详见招标文件第14.7条款</w:t>
            </w:r>
            <w:r>
              <w:rPr>
                <w:rFonts w:hint="eastAsia" w:ascii="宋体" w:hAnsi="宋体" w:eastAsia="宋体" w:cs="宋体"/>
                <w:b/>
                <w:bCs/>
                <w:color w:val="auto"/>
                <w:sz w:val="24"/>
                <w:szCs w:val="24"/>
                <w:highlight w:val="none"/>
              </w:rPr>
              <w:t>。</w:t>
            </w:r>
          </w:p>
        </w:tc>
        <w:tc>
          <w:tcPr>
            <w:tcW w:w="873" w:type="dxa"/>
            <w:noWrap w:val="0"/>
            <w:vAlign w:val="center"/>
          </w:tcPr>
          <w:p w14:paraId="4A71C30E">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15</w:t>
            </w:r>
            <w:r>
              <w:rPr>
                <w:rFonts w:hint="eastAsia" w:ascii="宋体" w:hAnsi="宋体" w:eastAsia="宋体" w:cs="宋体"/>
                <w:b/>
                <w:bCs/>
                <w:kern w:val="0"/>
                <w:sz w:val="24"/>
                <w:szCs w:val="24"/>
                <w:highlight w:val="none"/>
                <w:lang w:bidi="ar"/>
              </w:rPr>
              <w:t>分</w:t>
            </w:r>
          </w:p>
        </w:tc>
      </w:tr>
      <w:tr w14:paraId="2621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1026" w:type="dxa"/>
            <w:vMerge w:val="restart"/>
            <w:noWrap w:val="0"/>
            <w:vAlign w:val="center"/>
          </w:tcPr>
          <w:p w14:paraId="5E0EA3BC">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p w14:paraId="3448B6E1">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p w14:paraId="1298F863">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p w14:paraId="4A4B2CC8">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p w14:paraId="01155047">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p w14:paraId="59FEE7DC">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p w14:paraId="15512C08">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p w14:paraId="43DC8087">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p w14:paraId="1CB1A1A8">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rPr>
              <w:t>技术分（</w:t>
            </w:r>
            <w:r>
              <w:rPr>
                <w:rFonts w:hint="eastAsia" w:ascii="宋体" w:hAnsi="宋体" w:eastAsia="宋体" w:cs="宋体"/>
                <w:b/>
                <w:bCs/>
                <w:sz w:val="24"/>
                <w:szCs w:val="24"/>
                <w:highlight w:val="none"/>
                <w:lang w:val="en-US" w:eastAsia="zh-CN"/>
              </w:rPr>
              <w:t>15</w:t>
            </w:r>
          </w:p>
          <w:p w14:paraId="0C741DC5">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分）</w:t>
            </w:r>
          </w:p>
        </w:tc>
        <w:tc>
          <w:tcPr>
            <w:tcW w:w="1064" w:type="dxa"/>
            <w:noWrap w:val="0"/>
            <w:vAlign w:val="center"/>
          </w:tcPr>
          <w:p w14:paraId="75B0EF20">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技术条款响应</w:t>
            </w:r>
          </w:p>
        </w:tc>
        <w:tc>
          <w:tcPr>
            <w:tcW w:w="7496" w:type="dxa"/>
            <w:noWrap w:val="0"/>
            <w:vAlign w:val="top"/>
          </w:tcPr>
          <w:p w14:paraId="6CAC2564">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w:t>
            </w:r>
            <w:r>
              <w:rPr>
                <w:rFonts w:hint="eastAsia" w:ascii="宋体" w:hAnsi="宋体" w:eastAsia="宋体" w:cs="宋体"/>
                <w:sz w:val="24"/>
                <w:szCs w:val="24"/>
                <w:highlight w:val="none"/>
              </w:rPr>
              <w:t>标人完全满足本招标文件中“</w:t>
            </w:r>
            <w:r>
              <w:rPr>
                <w:rFonts w:hint="eastAsia" w:ascii="宋体" w:hAnsi="宋体" w:eastAsia="宋体" w:cs="宋体"/>
                <w:b/>
                <w:bCs/>
                <w:sz w:val="24"/>
                <w:szCs w:val="24"/>
                <w:highlight w:val="none"/>
              </w:rPr>
              <w:t>第</w:t>
            </w:r>
            <w:r>
              <w:rPr>
                <w:rFonts w:hint="eastAsia" w:ascii="宋体" w:hAnsi="宋体" w:eastAsia="宋体" w:cs="宋体"/>
                <w:b/>
                <w:bCs/>
                <w:sz w:val="24"/>
                <w:szCs w:val="24"/>
                <w:highlight w:val="none"/>
                <w:lang w:eastAsia="zh-CN"/>
              </w:rPr>
              <w:t>五</w:t>
            </w:r>
            <w:r>
              <w:rPr>
                <w:rFonts w:hint="eastAsia" w:ascii="宋体" w:hAnsi="宋体" w:eastAsia="宋体" w:cs="宋体"/>
                <w:b/>
                <w:bCs/>
                <w:sz w:val="24"/>
                <w:szCs w:val="24"/>
                <w:highlight w:val="none"/>
              </w:rPr>
              <w:t>章</w:t>
            </w:r>
            <w:r>
              <w:rPr>
                <w:rFonts w:hint="eastAsia" w:ascii="宋体" w:hAnsi="宋体" w:eastAsia="宋体" w:cs="宋体"/>
                <w:b/>
                <w:bCs/>
                <w:sz w:val="24"/>
                <w:szCs w:val="24"/>
                <w:highlight w:val="none"/>
                <w:lang w:val="en-US" w:eastAsia="zh-CN"/>
              </w:rPr>
              <w:t xml:space="preserve"> 一、项目清单及技术要求</w:t>
            </w:r>
            <w:r>
              <w:rPr>
                <w:rFonts w:hint="eastAsia" w:ascii="宋体" w:hAnsi="宋体" w:eastAsia="宋体" w:cs="宋体"/>
                <w:sz w:val="24"/>
                <w:szCs w:val="24"/>
                <w:highlight w:val="none"/>
              </w:rPr>
              <w:t>”，任一条不满足，</w:t>
            </w:r>
            <w:r>
              <w:rPr>
                <w:rFonts w:hint="eastAsia" w:ascii="宋体" w:hAnsi="宋体" w:eastAsia="宋体" w:cs="宋体"/>
                <w:sz w:val="24"/>
                <w:szCs w:val="24"/>
                <w:highlight w:val="none"/>
                <w:lang w:eastAsia="zh-CN"/>
              </w:rPr>
              <w:t>做无效标处理</w:t>
            </w:r>
            <w:r>
              <w:rPr>
                <w:rFonts w:hint="eastAsia" w:ascii="宋体" w:hAnsi="宋体" w:eastAsia="宋体" w:cs="宋体"/>
                <w:sz w:val="24"/>
                <w:szCs w:val="24"/>
                <w:highlight w:val="none"/>
              </w:rPr>
              <w:t>。</w:t>
            </w:r>
          </w:p>
          <w:p w14:paraId="37D26E60">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eastAsia" w:ascii="宋体" w:hAnsi="宋体" w:eastAsia="宋体" w:cs="宋体"/>
                <w:b/>
                <w:kern w:val="2"/>
                <w:sz w:val="24"/>
                <w:szCs w:val="24"/>
                <w:highlight w:val="none"/>
                <w:lang w:val="en-US" w:eastAsia="zh-CN" w:bidi="ar-SA"/>
              </w:rPr>
            </w:pPr>
            <w:r>
              <w:rPr>
                <w:rFonts w:hint="eastAsia" w:ascii="宋体" w:hAnsi="宋体" w:eastAsia="宋体" w:cs="宋体"/>
                <w:b/>
                <w:bCs/>
                <w:sz w:val="24"/>
                <w:szCs w:val="24"/>
                <w:highlight w:val="none"/>
              </w:rPr>
              <w:t>评审依据：提供</w:t>
            </w:r>
            <w:r>
              <w:rPr>
                <w:rFonts w:hint="eastAsia" w:ascii="宋体" w:hAnsi="宋体" w:eastAsia="宋体" w:cs="宋体"/>
                <w:b/>
                <w:bCs/>
                <w:sz w:val="24"/>
                <w:szCs w:val="24"/>
                <w:highlight w:val="none"/>
                <w:lang w:eastAsia="zh-CN"/>
              </w:rPr>
              <w:t>技术需求响应/偏离表</w:t>
            </w:r>
            <w:r>
              <w:rPr>
                <w:rFonts w:hint="eastAsia" w:ascii="宋体" w:hAnsi="宋体" w:eastAsia="宋体" w:cs="宋体"/>
                <w:b/>
                <w:bCs/>
                <w:sz w:val="24"/>
                <w:szCs w:val="24"/>
                <w:highlight w:val="none"/>
              </w:rPr>
              <w:t>并加盖投标</w:t>
            </w:r>
            <w:r>
              <w:rPr>
                <w:rFonts w:hint="eastAsia" w:ascii="宋体" w:hAnsi="宋体" w:eastAsia="宋体" w:cs="宋体"/>
                <w:b/>
                <w:bCs/>
                <w:sz w:val="24"/>
                <w:szCs w:val="24"/>
                <w:highlight w:val="none"/>
                <w:lang w:eastAsia="zh-CN"/>
              </w:rPr>
              <w:t>单位</w:t>
            </w:r>
            <w:r>
              <w:rPr>
                <w:rFonts w:hint="eastAsia" w:ascii="宋体" w:hAnsi="宋体" w:eastAsia="宋体" w:cs="宋体"/>
                <w:b/>
                <w:bCs/>
                <w:sz w:val="24"/>
                <w:szCs w:val="24"/>
                <w:highlight w:val="none"/>
              </w:rPr>
              <w:t>公章。</w:t>
            </w:r>
          </w:p>
        </w:tc>
        <w:tc>
          <w:tcPr>
            <w:tcW w:w="873" w:type="dxa"/>
            <w:noWrap w:val="0"/>
            <w:vAlign w:val="center"/>
          </w:tcPr>
          <w:p w14:paraId="7B482529">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符合性</w:t>
            </w:r>
          </w:p>
          <w:p w14:paraId="773F6708">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kern w:val="2"/>
                <w:sz w:val="24"/>
                <w:szCs w:val="24"/>
                <w:highlight w:val="none"/>
                <w:lang w:val="en-US" w:eastAsia="zh-CN" w:bidi="ar-SA"/>
              </w:rPr>
            </w:pPr>
            <w:r>
              <w:rPr>
                <w:rFonts w:hint="eastAsia" w:ascii="宋体" w:hAnsi="宋体" w:eastAsia="宋体" w:cs="宋体"/>
                <w:b/>
                <w:bCs/>
                <w:kern w:val="0"/>
                <w:sz w:val="24"/>
                <w:szCs w:val="24"/>
                <w:highlight w:val="none"/>
                <w:lang w:val="en-US" w:eastAsia="zh-CN" w:bidi="ar"/>
              </w:rPr>
              <w:t>审查</w:t>
            </w:r>
          </w:p>
        </w:tc>
      </w:tr>
      <w:tr w14:paraId="244B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trPr>
        <w:tc>
          <w:tcPr>
            <w:tcW w:w="1026" w:type="dxa"/>
            <w:vMerge w:val="continue"/>
            <w:noWrap w:val="0"/>
            <w:vAlign w:val="center"/>
          </w:tcPr>
          <w:p w14:paraId="0BC86652">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tc>
        <w:tc>
          <w:tcPr>
            <w:tcW w:w="1064" w:type="dxa"/>
            <w:noWrap w:val="0"/>
            <w:vAlign w:val="center"/>
          </w:tcPr>
          <w:p w14:paraId="73C55369">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提供针对本项目的供货安装方案</w:t>
            </w:r>
          </w:p>
        </w:tc>
        <w:tc>
          <w:tcPr>
            <w:tcW w:w="7496" w:type="dxa"/>
            <w:noWrap w:val="0"/>
            <w:vAlign w:val="top"/>
          </w:tcPr>
          <w:p w14:paraId="1A405ED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firstLine="480" w:firstLineChars="200"/>
              <w:jc w:val="both"/>
              <w:textAlignment w:val="auto"/>
              <w:rPr>
                <w:rStyle w:val="22"/>
                <w:rFonts w:hint="eastAsia" w:ascii="宋体" w:hAnsi="宋体" w:eastAsia="宋体" w:cs="宋体"/>
                <w:b w:val="0"/>
                <w:bCs w:val="0"/>
                <w:i w:val="0"/>
                <w:iCs w:val="0"/>
                <w:caps w:val="0"/>
                <w:color w:val="auto"/>
                <w:spacing w:val="0"/>
                <w:kern w:val="2"/>
                <w:sz w:val="24"/>
                <w:szCs w:val="24"/>
                <w:highlight w:val="none"/>
                <w:shd w:val="clear" w:color="auto" w:fill="auto"/>
                <w:lang w:eastAsia="zh-CN"/>
              </w:rPr>
            </w:pPr>
            <w:r>
              <w:rPr>
                <w:rStyle w:val="22"/>
                <w:rFonts w:hint="eastAsia" w:ascii="宋体" w:hAnsi="宋体" w:eastAsia="宋体" w:cs="宋体"/>
                <w:b w:val="0"/>
                <w:bCs w:val="0"/>
                <w:i w:val="0"/>
                <w:iCs w:val="0"/>
                <w:caps w:val="0"/>
                <w:color w:val="auto"/>
                <w:spacing w:val="0"/>
                <w:kern w:val="2"/>
                <w:sz w:val="24"/>
                <w:szCs w:val="24"/>
                <w:highlight w:val="none"/>
                <w:shd w:val="clear" w:color="auto" w:fill="auto"/>
                <w:lang w:eastAsia="zh-CN"/>
              </w:rPr>
              <w:t>根据投标人提供的项目</w:t>
            </w:r>
            <w:r>
              <w:rPr>
                <w:rStyle w:val="22"/>
                <w:rFonts w:hint="eastAsia" w:ascii="宋体" w:hAnsi="宋体" w:eastAsia="宋体" w:cs="宋体"/>
                <w:b w:val="0"/>
                <w:bCs w:val="0"/>
                <w:i w:val="0"/>
                <w:iCs w:val="0"/>
                <w:caps w:val="0"/>
                <w:color w:val="auto"/>
                <w:spacing w:val="0"/>
                <w:kern w:val="2"/>
                <w:sz w:val="24"/>
                <w:szCs w:val="24"/>
                <w:highlight w:val="none"/>
                <w:shd w:val="clear" w:color="auto" w:fill="auto"/>
                <w:lang w:val="en-US" w:eastAsia="zh-CN"/>
              </w:rPr>
              <w:t>供货安装方案</w:t>
            </w:r>
            <w:r>
              <w:rPr>
                <w:rStyle w:val="22"/>
                <w:rFonts w:hint="eastAsia" w:ascii="宋体" w:hAnsi="宋体" w:eastAsia="宋体" w:cs="宋体"/>
                <w:b w:val="0"/>
                <w:bCs w:val="0"/>
                <w:i w:val="0"/>
                <w:iCs w:val="0"/>
                <w:caps w:val="0"/>
                <w:color w:val="auto"/>
                <w:spacing w:val="0"/>
                <w:kern w:val="2"/>
                <w:sz w:val="24"/>
                <w:szCs w:val="24"/>
                <w:highlight w:val="none"/>
                <w:shd w:val="clear" w:color="auto" w:fill="auto"/>
                <w:lang w:eastAsia="zh-CN"/>
              </w:rPr>
              <w:t>进行评分，方案应包含但不限于以下内容：</w:t>
            </w:r>
          </w:p>
          <w:p w14:paraId="0BB04663">
            <w:pPr>
              <w:numPr>
                <w:ilvl w:val="0"/>
                <w:numId w:val="0"/>
              </w:numPr>
              <w:adjustRightInd w:val="0"/>
              <w:spacing w:line="360" w:lineRule="auto"/>
              <w:rPr>
                <w:rFonts w:hint="eastAsia" w:ascii="宋体" w:hAnsi="宋体" w:eastAsia="宋体" w:cs="宋体"/>
                <w:bCs/>
                <w:color w:val="auto"/>
                <w:kern w:val="0"/>
                <w:sz w:val="24"/>
                <w:highlight w:val="none"/>
                <w:lang w:val="en-GB"/>
              </w:rPr>
            </w:pPr>
            <w:r>
              <w:rPr>
                <w:rFonts w:hint="eastAsia" w:ascii="宋体" w:hAnsi="宋体" w:eastAsia="宋体" w:cs="宋体"/>
                <w:bCs/>
                <w:color w:val="auto"/>
                <w:kern w:val="0"/>
                <w:sz w:val="24"/>
                <w:highlight w:val="none"/>
                <w:lang w:val="en-GB" w:eastAsia="zh-CN"/>
              </w:rPr>
              <w:t>（</w:t>
            </w:r>
            <w:r>
              <w:rPr>
                <w:rFonts w:hint="eastAsia" w:ascii="宋体" w:hAnsi="宋体" w:eastAsia="宋体" w:cs="宋体"/>
                <w:bCs/>
                <w:color w:val="auto"/>
                <w:kern w:val="0"/>
                <w:sz w:val="24"/>
                <w:highlight w:val="none"/>
                <w:lang w:val="en-US" w:eastAsia="zh-CN"/>
              </w:rPr>
              <w:t>1</w:t>
            </w:r>
            <w:r>
              <w:rPr>
                <w:rFonts w:hint="eastAsia" w:ascii="宋体" w:hAnsi="宋体" w:eastAsia="宋体" w:cs="宋体"/>
                <w:bCs/>
                <w:color w:val="auto"/>
                <w:kern w:val="0"/>
                <w:sz w:val="24"/>
                <w:highlight w:val="none"/>
                <w:lang w:val="en-GB" w:eastAsia="zh-CN"/>
              </w:rPr>
              <w:t>）</w:t>
            </w:r>
            <w:r>
              <w:rPr>
                <w:rFonts w:hint="eastAsia" w:ascii="宋体" w:hAnsi="宋体" w:eastAsia="宋体" w:cs="宋体"/>
                <w:bCs/>
                <w:color w:val="auto"/>
                <w:kern w:val="0"/>
                <w:sz w:val="24"/>
                <w:highlight w:val="none"/>
                <w:lang w:val="en-GB"/>
              </w:rPr>
              <w:t>岗位责任制</w:t>
            </w:r>
            <w:r>
              <w:rPr>
                <w:rFonts w:hint="eastAsia" w:ascii="宋体" w:hAnsi="宋体" w:eastAsia="宋体" w:cs="宋体"/>
                <w:bCs/>
                <w:color w:val="auto"/>
                <w:kern w:val="0"/>
                <w:sz w:val="24"/>
                <w:highlight w:val="none"/>
                <w:lang w:val="en-US" w:eastAsia="zh-CN"/>
              </w:rPr>
              <w:t>、</w:t>
            </w:r>
            <w:r>
              <w:rPr>
                <w:rFonts w:hint="eastAsia" w:ascii="宋体" w:hAnsi="宋体" w:eastAsia="宋体" w:cs="宋体"/>
                <w:bCs/>
                <w:color w:val="auto"/>
                <w:kern w:val="0"/>
                <w:sz w:val="24"/>
                <w:highlight w:val="none"/>
                <w:lang w:val="en-GB"/>
              </w:rPr>
              <w:t>服务流程说明</w:t>
            </w:r>
          </w:p>
          <w:p w14:paraId="2F3FE66E">
            <w:pPr>
              <w:numPr>
                <w:ilvl w:val="0"/>
                <w:numId w:val="0"/>
              </w:numPr>
              <w:adjustRightInd w:val="0"/>
              <w:spacing w:line="360" w:lineRule="auto"/>
              <w:rPr>
                <w:rFonts w:hint="eastAsia" w:ascii="宋体" w:hAnsi="宋体" w:eastAsia="宋体" w:cs="宋体"/>
                <w:bCs/>
                <w:color w:val="auto"/>
                <w:kern w:val="0"/>
                <w:sz w:val="24"/>
                <w:highlight w:val="none"/>
                <w:lang w:val="en-GB"/>
              </w:rPr>
            </w:pP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供应配送</w:t>
            </w:r>
            <w:r>
              <w:rPr>
                <w:rFonts w:hint="eastAsia" w:ascii="宋体" w:hAnsi="宋体" w:eastAsia="宋体" w:cs="宋体"/>
                <w:color w:val="auto"/>
                <w:kern w:val="0"/>
                <w:sz w:val="24"/>
                <w:highlight w:val="none"/>
                <w:lang w:val="en-US" w:eastAsia="zh-CN"/>
              </w:rPr>
              <w:t>、</w:t>
            </w:r>
            <w:r>
              <w:rPr>
                <w:rFonts w:hint="eastAsia" w:ascii="宋体" w:hAnsi="宋体" w:eastAsia="宋体" w:cs="宋体"/>
                <w:color w:val="auto"/>
                <w:kern w:val="0"/>
                <w:sz w:val="24"/>
                <w:highlight w:val="none"/>
              </w:rPr>
              <w:t>安装调试</w:t>
            </w:r>
          </w:p>
          <w:p w14:paraId="4A84C933">
            <w:pPr>
              <w:numPr>
                <w:ilvl w:val="0"/>
                <w:numId w:val="0"/>
              </w:numPr>
              <w:adjustRightInd w:val="0"/>
              <w:spacing w:line="360" w:lineRule="auto"/>
              <w:rPr>
                <w:rFonts w:hint="eastAsia" w:ascii="宋体" w:hAnsi="宋体" w:eastAsia="宋体" w:cs="宋体"/>
                <w:bCs/>
                <w:color w:val="auto"/>
                <w:kern w:val="0"/>
                <w:sz w:val="24"/>
                <w:highlight w:val="none"/>
                <w:lang w:val="en-GB"/>
              </w:rPr>
            </w:pP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人员安排</w:t>
            </w:r>
          </w:p>
          <w:p w14:paraId="22FAC03A">
            <w:pPr>
              <w:numPr>
                <w:ilvl w:val="0"/>
                <w:numId w:val="0"/>
              </w:numPr>
              <w:adjustRightInd w:val="0"/>
              <w:spacing w:line="360" w:lineRule="auto"/>
              <w:rPr>
                <w:rFonts w:hint="eastAsia" w:ascii="宋体" w:hAnsi="宋体" w:eastAsia="宋体" w:cs="宋体"/>
                <w:bCs/>
                <w:color w:val="auto"/>
                <w:kern w:val="0"/>
                <w:sz w:val="24"/>
                <w:highlight w:val="none"/>
                <w:lang w:val="en-GB"/>
              </w:rPr>
            </w:pPr>
            <w:r>
              <w:rPr>
                <w:rFonts w:hint="eastAsia" w:ascii="宋体" w:hAnsi="宋体" w:eastAsia="宋体" w:cs="宋体"/>
                <w:bCs/>
                <w:color w:val="auto"/>
                <w:kern w:val="0"/>
                <w:sz w:val="24"/>
                <w:highlight w:val="none"/>
                <w:lang w:val="en-GB" w:eastAsia="zh-CN"/>
              </w:rPr>
              <w:t>（</w:t>
            </w:r>
            <w:r>
              <w:rPr>
                <w:rFonts w:hint="eastAsia" w:ascii="宋体" w:hAnsi="宋体" w:eastAsia="宋体" w:cs="宋体"/>
                <w:bCs/>
                <w:color w:val="auto"/>
                <w:kern w:val="0"/>
                <w:sz w:val="24"/>
                <w:highlight w:val="none"/>
                <w:lang w:val="en-US" w:eastAsia="zh-CN"/>
              </w:rPr>
              <w:t>4</w:t>
            </w:r>
            <w:r>
              <w:rPr>
                <w:rFonts w:hint="eastAsia" w:ascii="宋体" w:hAnsi="宋体" w:eastAsia="宋体" w:cs="宋体"/>
                <w:bCs/>
                <w:color w:val="auto"/>
                <w:kern w:val="0"/>
                <w:sz w:val="24"/>
                <w:highlight w:val="none"/>
                <w:lang w:val="en-GB" w:eastAsia="zh-CN"/>
              </w:rPr>
              <w:t>）</w:t>
            </w:r>
            <w:r>
              <w:rPr>
                <w:rFonts w:hint="eastAsia" w:ascii="宋体" w:hAnsi="宋体" w:eastAsia="宋体" w:cs="宋体"/>
                <w:bCs/>
                <w:color w:val="auto"/>
                <w:kern w:val="0"/>
                <w:sz w:val="24"/>
                <w:highlight w:val="none"/>
                <w:lang w:val="en-GB"/>
              </w:rPr>
              <w:t>各项服务工作计划</w:t>
            </w:r>
          </w:p>
          <w:p w14:paraId="401DB6F9">
            <w:pPr>
              <w:numPr>
                <w:ilvl w:val="0"/>
                <w:numId w:val="0"/>
              </w:numPr>
              <w:adjustRightInd w:val="0"/>
              <w:spacing w:line="360" w:lineRule="auto"/>
              <w:rPr>
                <w:rFonts w:hint="eastAsia" w:ascii="宋体" w:hAnsi="宋体" w:eastAsia="宋体" w:cs="宋体"/>
                <w:bCs/>
                <w:color w:val="auto"/>
                <w:kern w:val="0"/>
                <w:sz w:val="24"/>
                <w:highlight w:val="none"/>
                <w:lang w:val="en-GB"/>
              </w:rPr>
            </w:pP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安全保障措施等</w:t>
            </w:r>
          </w:p>
          <w:p w14:paraId="214AEED4">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上述方案每提供一个内容得2分，最多得10分。</w:t>
            </w:r>
          </w:p>
          <w:p w14:paraId="1621706D">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只有标题但缺乏实质性内容、内容与本项目无关或内容明显缺失的该小节不得分。</w:t>
            </w:r>
          </w:p>
          <w:p w14:paraId="22DAE5A0">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评审依据：提供供货安装方案。</w:t>
            </w:r>
          </w:p>
        </w:tc>
        <w:tc>
          <w:tcPr>
            <w:tcW w:w="873" w:type="dxa"/>
            <w:noWrap w:val="0"/>
            <w:vAlign w:val="center"/>
          </w:tcPr>
          <w:p w14:paraId="1BED4791">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10分</w:t>
            </w:r>
          </w:p>
        </w:tc>
      </w:tr>
      <w:tr w14:paraId="208D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trPr>
        <w:tc>
          <w:tcPr>
            <w:tcW w:w="1026" w:type="dxa"/>
            <w:vMerge w:val="continue"/>
            <w:noWrap w:val="0"/>
            <w:vAlign w:val="center"/>
          </w:tcPr>
          <w:p w14:paraId="34226D75">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tc>
        <w:tc>
          <w:tcPr>
            <w:tcW w:w="1064" w:type="dxa"/>
            <w:noWrap w:val="0"/>
            <w:vAlign w:val="center"/>
          </w:tcPr>
          <w:p w14:paraId="0D8B59E2">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技术优越性</w:t>
            </w:r>
          </w:p>
        </w:tc>
        <w:tc>
          <w:tcPr>
            <w:tcW w:w="7496" w:type="dxa"/>
            <w:noWrap w:val="0"/>
            <w:vAlign w:val="top"/>
          </w:tcPr>
          <w:p w14:paraId="59F33E9F">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抑尘车：最大水平喷雾射程，在满足≥100米的基础上，每增加5米加1分，最多加2分</w:t>
            </w:r>
          </w:p>
          <w:p w14:paraId="6134D56D">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评审依据：提供所投产品整车检测报告，公告参数页截图和查询网址复印件加盖投标人公章。</w:t>
            </w:r>
          </w:p>
        </w:tc>
        <w:tc>
          <w:tcPr>
            <w:tcW w:w="873" w:type="dxa"/>
            <w:noWrap w:val="0"/>
            <w:vAlign w:val="center"/>
          </w:tcPr>
          <w:p w14:paraId="456B5D31">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2分</w:t>
            </w:r>
          </w:p>
        </w:tc>
      </w:tr>
      <w:tr w14:paraId="2A402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6" w:type="dxa"/>
            <w:vMerge w:val="continue"/>
            <w:noWrap w:val="0"/>
            <w:vAlign w:val="center"/>
          </w:tcPr>
          <w:p w14:paraId="5B0542A2">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tc>
        <w:tc>
          <w:tcPr>
            <w:tcW w:w="1064" w:type="dxa"/>
            <w:noWrap w:val="0"/>
            <w:vAlign w:val="center"/>
          </w:tcPr>
          <w:p w14:paraId="1B58E1E7">
            <w:pPr>
              <w:pStyle w:val="6"/>
              <w:keepNext w:val="0"/>
              <w:keepLines w:val="0"/>
              <w:pageBreakBefore w:val="0"/>
              <w:widowControl w:val="0"/>
              <w:kinsoku/>
              <w:wordWrap/>
              <w:overflowPunct/>
              <w:topLinePunct w:val="0"/>
              <w:autoSpaceDE/>
              <w:autoSpaceDN/>
              <w:bidi w:val="0"/>
              <w:adjustRightInd/>
              <w:snapToGrid/>
              <w:spacing w:after="0" w:line="320" w:lineRule="exact"/>
              <w:ind w:left="0" w:left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b/>
                <w:bCs/>
                <w:kern w:val="0"/>
                <w:sz w:val="24"/>
                <w:szCs w:val="24"/>
                <w:highlight w:val="none"/>
                <w:lang w:val="en-US" w:eastAsia="zh-CN" w:bidi="ar"/>
              </w:rPr>
              <w:t>管理体系认证</w:t>
            </w:r>
          </w:p>
        </w:tc>
        <w:tc>
          <w:tcPr>
            <w:tcW w:w="7496" w:type="dxa"/>
            <w:noWrap w:val="0"/>
            <w:vAlign w:val="top"/>
          </w:tcPr>
          <w:p w14:paraId="2B91DEC8">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b/>
                <w:bCs/>
                <w:color w:val="FF0000"/>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所投抑尘车产品制造商具有质量管理体系认证证书、环境管理体系认证证书、职业健康安全管理体系认证证书且在有效期内的，</w:t>
            </w:r>
            <w:r>
              <w:rPr>
                <w:rFonts w:hint="eastAsia" w:ascii="宋体" w:hAnsi="宋体" w:eastAsia="宋体" w:cs="宋体"/>
                <w:b w:val="0"/>
                <w:bCs w:val="0"/>
                <w:color w:val="FF0000"/>
                <w:sz w:val="24"/>
                <w:szCs w:val="24"/>
                <w:highlight w:val="none"/>
                <w:lang w:val="en-US" w:eastAsia="zh-CN"/>
              </w:rPr>
              <w:t>每有一项得1分，满分3分。</w:t>
            </w:r>
          </w:p>
          <w:p w14:paraId="210A6B39">
            <w:pPr>
              <w:rPr>
                <w:rFonts w:hint="eastAsia" w:ascii="宋体" w:hAnsi="宋体" w:eastAsia="宋体" w:cs="宋体"/>
                <w:sz w:val="24"/>
                <w:szCs w:val="24"/>
                <w:highlight w:val="none"/>
                <w:lang w:val="en-US" w:eastAsia="zh-CN"/>
              </w:rPr>
            </w:pPr>
            <w:r>
              <w:rPr>
                <w:rFonts w:hint="eastAsia" w:ascii="宋体" w:hAnsi="宋体" w:eastAsia="宋体" w:cs="宋体"/>
                <w:b/>
                <w:color w:val="auto"/>
                <w:kern w:val="0"/>
                <w:sz w:val="24"/>
                <w:highlight w:val="none"/>
              </w:rPr>
              <w:t>评审依据：投标文件中附证书</w:t>
            </w:r>
            <w:r>
              <w:rPr>
                <w:rFonts w:hint="eastAsia" w:ascii="宋体" w:hAnsi="宋体" w:eastAsia="宋体" w:cs="宋体"/>
                <w:b/>
                <w:color w:val="auto"/>
                <w:kern w:val="0"/>
                <w:sz w:val="24"/>
                <w:highlight w:val="none"/>
                <w:lang w:val="en-US" w:eastAsia="zh-CN"/>
              </w:rPr>
              <w:t>扫描件</w:t>
            </w:r>
            <w:r>
              <w:rPr>
                <w:rFonts w:hint="eastAsia" w:ascii="宋体" w:hAnsi="宋体" w:eastAsia="宋体" w:cs="宋体"/>
                <w:b/>
                <w:color w:val="auto"/>
                <w:kern w:val="0"/>
                <w:sz w:val="24"/>
                <w:highlight w:val="none"/>
              </w:rPr>
              <w:t>及查询结果网页截图</w:t>
            </w:r>
            <w:r>
              <w:rPr>
                <w:rFonts w:hint="eastAsia" w:ascii="宋体" w:hAnsi="宋体" w:eastAsia="宋体" w:cs="宋体"/>
                <w:b/>
                <w:color w:val="auto"/>
                <w:kern w:val="0"/>
                <w:sz w:val="24"/>
                <w:highlight w:val="none"/>
                <w:lang w:val="en-US" w:eastAsia="zh-CN"/>
              </w:rPr>
              <w:t>加盖投标人公章，</w:t>
            </w:r>
            <w:r>
              <w:rPr>
                <w:rFonts w:hint="eastAsia" w:ascii="宋体" w:hAnsi="宋体" w:eastAsia="宋体" w:cs="宋体"/>
                <w:b/>
                <w:color w:val="auto"/>
                <w:kern w:val="0"/>
                <w:sz w:val="24"/>
                <w:highlight w:val="none"/>
              </w:rPr>
              <w:t>以全国认证认可信息公共服务平台</w:t>
            </w:r>
            <w:r>
              <w:rPr>
                <w:rFonts w:hint="eastAsia" w:ascii="宋体" w:hAnsi="宋体" w:eastAsia="宋体" w:cs="宋体"/>
                <w:b/>
                <w:color w:val="auto"/>
                <w:kern w:val="0"/>
                <w:sz w:val="24"/>
                <w:highlight w:val="none"/>
                <w:lang w:eastAsia="zh-CN"/>
              </w:rPr>
              <w:t>（http://cx.cnca.cn/）</w:t>
            </w:r>
            <w:r>
              <w:rPr>
                <w:rFonts w:hint="eastAsia" w:ascii="宋体" w:hAnsi="宋体" w:eastAsia="宋体" w:cs="宋体"/>
                <w:b/>
                <w:color w:val="auto"/>
                <w:kern w:val="0"/>
                <w:sz w:val="24"/>
                <w:highlight w:val="none"/>
              </w:rPr>
              <w:t>查询结果为准。</w:t>
            </w:r>
          </w:p>
        </w:tc>
        <w:tc>
          <w:tcPr>
            <w:tcW w:w="873" w:type="dxa"/>
            <w:noWrap w:val="0"/>
            <w:vAlign w:val="center"/>
          </w:tcPr>
          <w:p w14:paraId="6E024C02">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3分</w:t>
            </w:r>
          </w:p>
        </w:tc>
      </w:tr>
      <w:tr w14:paraId="4EAA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1026" w:type="dxa"/>
            <w:vMerge w:val="restart"/>
            <w:noWrap w:val="0"/>
            <w:vAlign w:val="center"/>
          </w:tcPr>
          <w:p w14:paraId="7DAFF4E4">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p w14:paraId="78C69DF6">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p>
          <w:p w14:paraId="5203E223">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商务分（</w:t>
            </w:r>
            <w:r>
              <w:rPr>
                <w:rFonts w:hint="eastAsia" w:ascii="宋体" w:hAnsi="宋体" w:eastAsia="宋体" w:cs="宋体"/>
                <w:b/>
                <w:bCs/>
                <w:sz w:val="24"/>
                <w:szCs w:val="24"/>
                <w:highlight w:val="none"/>
                <w:lang w:val="en-US" w:eastAsia="zh-CN"/>
              </w:rPr>
              <w:t>20</w:t>
            </w:r>
            <w:r>
              <w:rPr>
                <w:rFonts w:hint="eastAsia" w:ascii="宋体" w:hAnsi="宋体" w:eastAsia="宋体" w:cs="宋体"/>
                <w:b/>
                <w:bCs/>
                <w:sz w:val="24"/>
                <w:szCs w:val="24"/>
                <w:highlight w:val="none"/>
              </w:rPr>
              <w:t>分）</w:t>
            </w:r>
          </w:p>
        </w:tc>
        <w:tc>
          <w:tcPr>
            <w:tcW w:w="1064" w:type="dxa"/>
            <w:noWrap w:val="0"/>
            <w:vAlign w:val="center"/>
          </w:tcPr>
          <w:p w14:paraId="51D5AB7F">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商务条款响应</w:t>
            </w:r>
          </w:p>
        </w:tc>
        <w:tc>
          <w:tcPr>
            <w:tcW w:w="7496" w:type="dxa"/>
            <w:noWrap w:val="0"/>
            <w:vAlign w:val="top"/>
          </w:tcPr>
          <w:p w14:paraId="18C5EB96">
            <w:pPr>
              <w:keepNext w:val="0"/>
              <w:keepLines w:val="0"/>
              <w:pageBreakBefore w:val="0"/>
              <w:widowControl w:val="0"/>
              <w:kinsoku/>
              <w:wordWrap/>
              <w:overflowPunct/>
              <w:topLinePunct w:val="0"/>
              <w:autoSpaceDE/>
              <w:autoSpaceDN/>
              <w:bidi w:val="0"/>
              <w:adjustRightInd/>
              <w:snapToGrid/>
              <w:spacing w:line="320" w:lineRule="exact"/>
              <w:ind w:left="0" w:left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1、投标人完全满足本招标文件中“第</w:t>
            </w:r>
            <w:r>
              <w:rPr>
                <w:rFonts w:hint="eastAsia" w:ascii="宋体" w:hAnsi="宋体" w:eastAsia="宋体" w:cs="宋体"/>
                <w:sz w:val="24"/>
                <w:szCs w:val="24"/>
                <w:highlight w:val="none"/>
                <w:lang w:eastAsia="zh-CN"/>
              </w:rPr>
              <w:t>五</w:t>
            </w:r>
            <w:r>
              <w:rPr>
                <w:rFonts w:hint="eastAsia" w:ascii="宋体" w:hAnsi="宋体" w:eastAsia="宋体" w:cs="宋体"/>
                <w:sz w:val="24"/>
                <w:szCs w:val="24"/>
                <w:highlight w:val="none"/>
              </w:rPr>
              <w:t>章</w:t>
            </w:r>
            <w:r>
              <w:rPr>
                <w:rFonts w:hint="eastAsia" w:ascii="宋体" w:hAnsi="宋体" w:eastAsia="宋体" w:cs="宋体"/>
                <w:sz w:val="24"/>
                <w:szCs w:val="24"/>
                <w:highlight w:val="none"/>
                <w:lang w:val="en-US" w:eastAsia="zh-CN"/>
              </w:rPr>
              <w:t xml:space="preserve"> 三、</w:t>
            </w:r>
            <w:r>
              <w:rPr>
                <w:rFonts w:hint="eastAsia" w:ascii="宋体" w:hAnsi="宋体" w:eastAsia="宋体" w:cs="宋体"/>
                <w:sz w:val="24"/>
                <w:szCs w:val="24"/>
                <w:highlight w:val="none"/>
              </w:rPr>
              <w:t>商务条款”，任一条不满足，</w:t>
            </w:r>
            <w:r>
              <w:rPr>
                <w:rFonts w:hint="eastAsia" w:ascii="宋体" w:hAnsi="宋体" w:eastAsia="宋体" w:cs="宋体"/>
                <w:sz w:val="24"/>
                <w:szCs w:val="24"/>
                <w:highlight w:val="none"/>
                <w:lang w:eastAsia="zh-CN"/>
              </w:rPr>
              <w:t>做无效投标处理</w:t>
            </w:r>
            <w:r>
              <w:rPr>
                <w:rFonts w:hint="eastAsia" w:ascii="宋体" w:hAnsi="宋体" w:eastAsia="宋体" w:cs="宋体"/>
                <w:sz w:val="24"/>
                <w:szCs w:val="24"/>
                <w:highlight w:val="none"/>
              </w:rPr>
              <w:t>。</w:t>
            </w:r>
          </w:p>
          <w:p w14:paraId="54CBB9FD">
            <w:pPr>
              <w:keepNext w:val="0"/>
              <w:keepLines w:val="0"/>
              <w:pageBreakBefore w:val="0"/>
              <w:widowControl w:val="0"/>
              <w:kinsoku/>
              <w:wordWrap/>
              <w:overflowPunct/>
              <w:topLinePunct w:val="0"/>
              <w:autoSpaceDE/>
              <w:autoSpaceDN/>
              <w:bidi w:val="0"/>
              <w:adjustRightInd/>
              <w:snapToGrid/>
              <w:spacing w:line="320" w:lineRule="exact"/>
              <w:ind w:left="0" w:leftChars="0"/>
              <w:jc w:val="left"/>
              <w:textAlignment w:val="auto"/>
              <w:rPr>
                <w:rFonts w:hint="eastAsia" w:ascii="宋体" w:hAnsi="宋体" w:eastAsia="宋体" w:cs="宋体"/>
                <w:kern w:val="0"/>
                <w:sz w:val="24"/>
                <w:szCs w:val="24"/>
                <w:highlight w:val="none"/>
                <w:lang w:val="en-US" w:eastAsia="zh-CN" w:bidi="ar"/>
              </w:rPr>
            </w:pPr>
            <w:r>
              <w:rPr>
                <w:rFonts w:hint="eastAsia" w:ascii="宋体" w:hAnsi="宋体" w:eastAsia="宋体" w:cs="宋体"/>
                <w:b/>
                <w:bCs/>
                <w:sz w:val="24"/>
                <w:szCs w:val="24"/>
                <w:highlight w:val="none"/>
              </w:rPr>
              <w:t>评审依据：投标人提供的商务响应表并加盖投标</w:t>
            </w:r>
            <w:r>
              <w:rPr>
                <w:rFonts w:hint="eastAsia" w:ascii="宋体" w:hAnsi="宋体" w:eastAsia="宋体" w:cs="宋体"/>
                <w:b/>
                <w:bCs/>
                <w:sz w:val="24"/>
                <w:szCs w:val="24"/>
                <w:highlight w:val="none"/>
                <w:lang w:eastAsia="zh-CN"/>
              </w:rPr>
              <w:t>单位</w:t>
            </w:r>
            <w:r>
              <w:rPr>
                <w:rFonts w:hint="eastAsia" w:ascii="宋体" w:hAnsi="宋体" w:eastAsia="宋体" w:cs="宋体"/>
                <w:b/>
                <w:bCs/>
                <w:sz w:val="24"/>
                <w:szCs w:val="24"/>
                <w:highlight w:val="none"/>
              </w:rPr>
              <w:t>公章。</w:t>
            </w:r>
          </w:p>
        </w:tc>
        <w:tc>
          <w:tcPr>
            <w:tcW w:w="873" w:type="dxa"/>
            <w:noWrap w:val="0"/>
            <w:vAlign w:val="center"/>
          </w:tcPr>
          <w:p w14:paraId="744197B0">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符合性</w:t>
            </w:r>
          </w:p>
          <w:p w14:paraId="740D04BC">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审查</w:t>
            </w:r>
          </w:p>
        </w:tc>
      </w:tr>
      <w:tr w14:paraId="14B5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1026" w:type="dxa"/>
            <w:vMerge w:val="continue"/>
            <w:noWrap w:val="0"/>
            <w:vAlign w:val="top"/>
          </w:tcPr>
          <w:p w14:paraId="76FF0FB8">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eastAsia" w:ascii="宋体" w:hAnsi="宋体" w:eastAsia="宋体" w:cs="宋体"/>
                <w:sz w:val="24"/>
                <w:szCs w:val="24"/>
                <w:highlight w:val="none"/>
              </w:rPr>
            </w:pPr>
          </w:p>
        </w:tc>
        <w:tc>
          <w:tcPr>
            <w:tcW w:w="1064" w:type="dxa"/>
            <w:noWrap w:val="0"/>
            <w:vAlign w:val="center"/>
          </w:tcPr>
          <w:p w14:paraId="0E45FBA9">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业绩</w:t>
            </w:r>
          </w:p>
        </w:tc>
        <w:tc>
          <w:tcPr>
            <w:tcW w:w="7496" w:type="dxa"/>
            <w:noWrap w:val="0"/>
            <w:vAlign w:val="center"/>
          </w:tcPr>
          <w:p w14:paraId="55EB9B02">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highlight w:val="none"/>
              </w:rPr>
              <w:t>投标人或</w:t>
            </w:r>
            <w:r>
              <w:rPr>
                <w:rFonts w:hint="eastAsia" w:ascii="宋体" w:hAnsi="宋体" w:eastAsia="宋体" w:cs="宋体"/>
                <w:b/>
                <w:bCs/>
                <w:color w:val="auto"/>
                <w:sz w:val="24"/>
                <w:szCs w:val="24"/>
                <w:highlight w:val="none"/>
                <w:lang w:val="en-US" w:eastAsia="zh-CN"/>
              </w:rPr>
              <w:t>所投抑尘车产品制造商</w:t>
            </w:r>
            <w:r>
              <w:rPr>
                <w:rFonts w:hint="eastAsia" w:ascii="宋体" w:hAnsi="宋体" w:eastAsia="宋体" w:cs="宋体"/>
                <w:color w:val="auto"/>
                <w:sz w:val="24"/>
                <w:szCs w:val="24"/>
                <w:highlight w:val="none"/>
              </w:rPr>
              <w:t>自202</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月1日</w:t>
            </w:r>
            <w:r>
              <w:rPr>
                <w:rFonts w:hint="eastAsia" w:ascii="宋体" w:hAnsi="宋体" w:eastAsia="宋体" w:cs="宋体"/>
                <w:color w:val="auto"/>
                <w:sz w:val="24"/>
                <w:szCs w:val="24"/>
                <w:highlight w:val="none"/>
                <w:lang w:val="en-US" w:eastAsia="zh-CN"/>
              </w:rPr>
              <w:t>起</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lang w:val="en-US" w:eastAsia="zh-CN"/>
              </w:rPr>
              <w:t>开标截止时间前</w:t>
            </w:r>
            <w:r>
              <w:rPr>
                <w:rFonts w:hint="eastAsia" w:ascii="宋体" w:hAnsi="宋体" w:eastAsia="宋体" w:cs="宋体"/>
                <w:color w:val="auto"/>
                <w:sz w:val="24"/>
                <w:szCs w:val="24"/>
                <w:highlight w:val="none"/>
              </w:rPr>
              <w:t>（以合同签订时间为准），承担过类似</w:t>
            </w:r>
            <w:r>
              <w:rPr>
                <w:rFonts w:hint="eastAsia" w:ascii="宋体" w:hAnsi="宋体" w:eastAsia="宋体" w:cs="宋体"/>
                <w:color w:val="auto"/>
                <w:sz w:val="24"/>
                <w:szCs w:val="24"/>
                <w:highlight w:val="none"/>
                <w:lang w:val="en-US" w:eastAsia="zh-CN"/>
              </w:rPr>
              <w:t>项目业绩</w:t>
            </w:r>
            <w:r>
              <w:rPr>
                <w:rFonts w:hint="eastAsia" w:ascii="宋体" w:hAnsi="宋体" w:eastAsia="宋体" w:cs="宋体"/>
                <w:color w:val="auto"/>
                <w:sz w:val="24"/>
                <w:szCs w:val="24"/>
                <w:highlight w:val="none"/>
              </w:rPr>
              <w:t xml:space="preserve">，每提供一个得 </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分，最高得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p w14:paraId="388168F6">
            <w:pPr>
              <w:keepNext w:val="0"/>
              <w:keepLines w:val="0"/>
              <w:pageBreakBefore w:val="0"/>
              <w:widowControl w:val="0"/>
              <w:kinsoku/>
              <w:wordWrap/>
              <w:overflowPunct/>
              <w:topLinePunct w:val="0"/>
              <w:autoSpaceDE/>
              <w:autoSpaceDN/>
              <w:bidi w:val="0"/>
              <w:adjustRightInd/>
              <w:snapToGrid/>
              <w:spacing w:line="320" w:lineRule="exact"/>
              <w:ind w:left="0" w:leftChars="0"/>
              <w:jc w:val="left"/>
              <w:textAlignment w:val="auto"/>
              <w:rPr>
                <w:rFonts w:hint="eastAsia" w:ascii="宋体" w:hAnsi="宋体" w:eastAsia="宋体" w:cs="宋体"/>
                <w:b/>
                <w:bCs/>
                <w:kern w:val="0"/>
                <w:sz w:val="24"/>
                <w:szCs w:val="24"/>
                <w:highlight w:val="none"/>
                <w:lang w:bidi="ar"/>
              </w:rPr>
            </w:pPr>
            <w:r>
              <w:rPr>
                <w:rFonts w:hint="eastAsia" w:ascii="宋体" w:hAnsi="宋体" w:eastAsia="宋体" w:cs="宋体"/>
                <w:b/>
                <w:bCs/>
                <w:color w:val="auto"/>
                <w:sz w:val="24"/>
                <w:szCs w:val="24"/>
                <w:highlight w:val="none"/>
              </w:rPr>
              <w:t>评审依据：</w:t>
            </w:r>
            <w:r>
              <w:rPr>
                <w:rFonts w:hint="eastAsia" w:ascii="宋体" w:hAnsi="宋体" w:eastAsia="宋体" w:cs="宋体"/>
                <w:b/>
                <w:bCs/>
                <w:color w:val="FF0000"/>
                <w:sz w:val="24"/>
                <w:szCs w:val="24"/>
                <w:highlight w:val="none"/>
                <w:lang w:val="en-US" w:eastAsia="zh-CN"/>
              </w:rPr>
              <w:t>提供合同复印件</w:t>
            </w:r>
            <w:r>
              <w:rPr>
                <w:rFonts w:hint="eastAsia" w:ascii="宋体" w:hAnsi="宋体" w:eastAsia="宋体" w:cs="宋体"/>
                <w:b/>
                <w:bCs/>
                <w:color w:val="FF0000"/>
                <w:sz w:val="24"/>
                <w:szCs w:val="24"/>
                <w:highlight w:val="none"/>
              </w:rPr>
              <w:t>加盖</w:t>
            </w:r>
            <w:r>
              <w:rPr>
                <w:rFonts w:hint="eastAsia" w:ascii="宋体" w:hAnsi="宋体" w:eastAsia="宋体" w:cs="宋体"/>
                <w:b/>
                <w:bCs/>
                <w:color w:val="FF0000"/>
                <w:sz w:val="24"/>
                <w:szCs w:val="24"/>
                <w:highlight w:val="none"/>
                <w:lang w:val="en-US" w:eastAsia="zh-CN"/>
              </w:rPr>
              <w:t>投标人</w:t>
            </w:r>
            <w:r>
              <w:rPr>
                <w:rFonts w:hint="eastAsia" w:ascii="宋体" w:hAnsi="宋体" w:eastAsia="宋体" w:cs="宋体"/>
                <w:b/>
                <w:bCs/>
                <w:color w:val="FF0000"/>
                <w:sz w:val="24"/>
                <w:szCs w:val="24"/>
                <w:highlight w:val="none"/>
              </w:rPr>
              <w:t>公章</w:t>
            </w:r>
            <w:r>
              <w:rPr>
                <w:rFonts w:hint="eastAsia" w:ascii="宋体" w:hAnsi="宋体" w:eastAsia="宋体" w:cs="宋体"/>
                <w:b/>
                <w:bCs/>
                <w:color w:val="FF0000"/>
                <w:sz w:val="24"/>
                <w:szCs w:val="24"/>
                <w:highlight w:val="none"/>
                <w:lang w:val="en-US" w:eastAsia="zh-CN"/>
              </w:rPr>
              <w:t>。</w:t>
            </w:r>
          </w:p>
        </w:tc>
        <w:tc>
          <w:tcPr>
            <w:tcW w:w="873" w:type="dxa"/>
            <w:noWrap w:val="0"/>
            <w:vAlign w:val="center"/>
          </w:tcPr>
          <w:p w14:paraId="2610EF07">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6</w:t>
            </w:r>
            <w:r>
              <w:rPr>
                <w:rFonts w:hint="eastAsia" w:ascii="宋体" w:hAnsi="宋体" w:eastAsia="宋体" w:cs="宋体"/>
                <w:b/>
                <w:bCs/>
                <w:kern w:val="0"/>
                <w:sz w:val="24"/>
                <w:szCs w:val="24"/>
                <w:highlight w:val="none"/>
                <w:lang w:bidi="ar"/>
              </w:rPr>
              <w:t>分</w:t>
            </w:r>
          </w:p>
        </w:tc>
      </w:tr>
      <w:tr w14:paraId="3D49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026" w:type="dxa"/>
            <w:vMerge w:val="continue"/>
            <w:noWrap w:val="0"/>
            <w:vAlign w:val="top"/>
          </w:tcPr>
          <w:p w14:paraId="519B4B9B">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eastAsia" w:ascii="宋体" w:hAnsi="宋体" w:eastAsia="宋体" w:cs="宋体"/>
                <w:sz w:val="24"/>
                <w:szCs w:val="24"/>
                <w:highlight w:val="none"/>
              </w:rPr>
            </w:pPr>
          </w:p>
        </w:tc>
        <w:tc>
          <w:tcPr>
            <w:tcW w:w="1064" w:type="dxa"/>
            <w:noWrap w:val="0"/>
            <w:vAlign w:val="center"/>
          </w:tcPr>
          <w:p w14:paraId="0A4B25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售后服务方案</w:t>
            </w:r>
          </w:p>
        </w:tc>
        <w:tc>
          <w:tcPr>
            <w:tcW w:w="7496" w:type="dxa"/>
            <w:noWrap w:val="0"/>
            <w:vAlign w:val="top"/>
          </w:tcPr>
          <w:p w14:paraId="19790B5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firstLine="480" w:firstLineChars="200"/>
              <w:jc w:val="both"/>
              <w:textAlignment w:val="auto"/>
              <w:rPr>
                <w:rStyle w:val="22"/>
                <w:rFonts w:hint="eastAsia" w:ascii="宋体" w:hAnsi="宋体" w:eastAsia="宋体" w:cs="宋体"/>
                <w:b w:val="0"/>
                <w:bCs w:val="0"/>
                <w:i w:val="0"/>
                <w:iCs w:val="0"/>
                <w:caps w:val="0"/>
                <w:color w:val="auto"/>
                <w:spacing w:val="0"/>
                <w:kern w:val="2"/>
                <w:sz w:val="24"/>
                <w:szCs w:val="24"/>
                <w:highlight w:val="none"/>
                <w:shd w:val="clear" w:color="auto" w:fill="auto"/>
                <w:lang w:eastAsia="zh-CN"/>
              </w:rPr>
            </w:pPr>
            <w:r>
              <w:rPr>
                <w:rStyle w:val="22"/>
                <w:rFonts w:hint="eastAsia" w:ascii="宋体" w:hAnsi="宋体" w:eastAsia="宋体" w:cs="宋体"/>
                <w:b w:val="0"/>
                <w:bCs w:val="0"/>
                <w:i w:val="0"/>
                <w:iCs w:val="0"/>
                <w:caps w:val="0"/>
                <w:color w:val="auto"/>
                <w:spacing w:val="0"/>
                <w:kern w:val="2"/>
                <w:sz w:val="24"/>
                <w:szCs w:val="24"/>
                <w:highlight w:val="none"/>
                <w:shd w:val="clear" w:color="auto" w:fill="auto"/>
                <w:lang w:eastAsia="zh-CN"/>
              </w:rPr>
              <w:t>根据投标人提供的</w:t>
            </w:r>
            <w:r>
              <w:rPr>
                <w:rStyle w:val="22"/>
                <w:rFonts w:hint="eastAsia" w:ascii="宋体" w:hAnsi="宋体" w:eastAsia="宋体" w:cs="宋体"/>
                <w:b w:val="0"/>
                <w:bCs w:val="0"/>
                <w:i w:val="0"/>
                <w:iCs w:val="0"/>
                <w:caps w:val="0"/>
                <w:color w:val="auto"/>
                <w:spacing w:val="0"/>
                <w:kern w:val="2"/>
                <w:sz w:val="24"/>
                <w:szCs w:val="24"/>
                <w:highlight w:val="none"/>
                <w:shd w:val="clear" w:color="auto" w:fill="auto"/>
                <w:lang w:val="en-US" w:eastAsia="zh-CN"/>
              </w:rPr>
              <w:t>售后服务方案</w:t>
            </w:r>
            <w:r>
              <w:rPr>
                <w:rStyle w:val="22"/>
                <w:rFonts w:hint="eastAsia" w:ascii="宋体" w:hAnsi="宋体" w:eastAsia="宋体" w:cs="宋体"/>
                <w:b w:val="0"/>
                <w:bCs w:val="0"/>
                <w:i w:val="0"/>
                <w:iCs w:val="0"/>
                <w:caps w:val="0"/>
                <w:color w:val="auto"/>
                <w:spacing w:val="0"/>
                <w:kern w:val="2"/>
                <w:sz w:val="24"/>
                <w:szCs w:val="24"/>
                <w:highlight w:val="none"/>
                <w:shd w:val="clear" w:color="auto" w:fill="auto"/>
                <w:lang w:eastAsia="zh-CN"/>
              </w:rPr>
              <w:t>进行评分，方案应包含但不限于以下内容：</w:t>
            </w:r>
          </w:p>
          <w:p w14:paraId="0F0F1D9A">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（1）售后服务承诺、售后服务体系、售后服务流程（2）应急维修时间安排，备品备件库（3）技术培训方案</w:t>
            </w:r>
          </w:p>
          <w:p w14:paraId="454C206F">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上述方案每提供一个内容得1分，最多得3分。</w:t>
            </w:r>
          </w:p>
          <w:p w14:paraId="1981BC29">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只有标题但缺乏实质性内容、内容与本项目无关或内容明显缺失的该小节不得分。</w:t>
            </w:r>
          </w:p>
          <w:p w14:paraId="2E4CDB66">
            <w:pPr>
              <w:adjustRightInd w:val="0"/>
              <w:spacing w:line="360" w:lineRule="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sz w:val="24"/>
                <w:szCs w:val="24"/>
                <w:highlight w:val="none"/>
                <w:lang w:val="en-US" w:eastAsia="zh-CN"/>
              </w:rPr>
              <w:t>评审依据：提供售后服务方案。</w:t>
            </w:r>
          </w:p>
        </w:tc>
        <w:tc>
          <w:tcPr>
            <w:tcW w:w="873" w:type="dxa"/>
            <w:noWrap w:val="0"/>
            <w:vAlign w:val="center"/>
          </w:tcPr>
          <w:p w14:paraId="46286FE5">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3分</w:t>
            </w:r>
          </w:p>
        </w:tc>
      </w:tr>
      <w:tr w14:paraId="1908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026" w:type="dxa"/>
            <w:vMerge w:val="continue"/>
            <w:noWrap w:val="0"/>
            <w:vAlign w:val="top"/>
          </w:tcPr>
          <w:p w14:paraId="3A0734EF">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eastAsia" w:ascii="宋体" w:hAnsi="宋体" w:eastAsia="宋体" w:cs="宋体"/>
                <w:sz w:val="24"/>
                <w:szCs w:val="24"/>
                <w:highlight w:val="none"/>
              </w:rPr>
            </w:pPr>
          </w:p>
        </w:tc>
        <w:tc>
          <w:tcPr>
            <w:tcW w:w="1064" w:type="dxa"/>
            <w:noWrap w:val="0"/>
            <w:vAlign w:val="center"/>
          </w:tcPr>
          <w:p w14:paraId="472092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bCs/>
                <w:kern w:val="2"/>
                <w:sz w:val="24"/>
                <w:szCs w:val="24"/>
                <w:highlight w:val="none"/>
                <w:lang w:val="en-US" w:eastAsia="zh-CN" w:bidi="ar-SA"/>
              </w:rPr>
            </w:pPr>
            <w:r>
              <w:rPr>
                <w:rFonts w:hint="eastAsia" w:ascii="宋体" w:hAnsi="宋体" w:eastAsia="宋体" w:cs="宋体"/>
                <w:b/>
                <w:bCs/>
                <w:sz w:val="24"/>
                <w:szCs w:val="24"/>
                <w:highlight w:val="none"/>
                <w:lang w:val="en-US" w:eastAsia="zh-CN"/>
              </w:rPr>
              <w:t>综合实力</w:t>
            </w:r>
          </w:p>
        </w:tc>
        <w:tc>
          <w:tcPr>
            <w:tcW w:w="7496" w:type="dxa"/>
            <w:noWrap w:val="0"/>
            <w:vAlign w:val="top"/>
          </w:tcPr>
          <w:p w14:paraId="1A7C6146">
            <w:pPr>
              <w:keepNext w:val="0"/>
              <w:keepLines w:val="0"/>
              <w:pageBreakBefore w:val="0"/>
              <w:widowControl/>
              <w:numPr>
                <w:ilvl w:val="0"/>
                <w:numId w:val="0"/>
              </w:numPr>
              <w:wordWrap/>
              <w:overflowPunct/>
              <w:topLinePunct w:val="0"/>
              <w:bidi w:val="0"/>
              <w:spacing w:line="360" w:lineRule="auto"/>
              <w:ind w:right="0" w:rightChars="0"/>
              <w:jc w:val="left"/>
              <w:rPr>
                <w:rFonts w:hint="eastAsia" w:ascii="宋体" w:hAnsi="宋体" w:eastAsia="宋体" w:cs="宋体"/>
                <w:color w:val="FF0000"/>
                <w:kern w:val="0"/>
                <w:sz w:val="24"/>
                <w:szCs w:val="24"/>
                <w:highlight w:val="none"/>
                <w:lang w:val="en-US" w:eastAsia="zh-CN" w:bidi="ar"/>
              </w:rPr>
            </w:pPr>
            <w:r>
              <w:rPr>
                <w:rFonts w:hint="eastAsia" w:ascii="宋体" w:hAnsi="宋体" w:eastAsia="宋体" w:cs="宋体"/>
                <w:color w:val="FF0000"/>
                <w:kern w:val="0"/>
                <w:sz w:val="24"/>
                <w:szCs w:val="24"/>
                <w:highlight w:val="none"/>
                <w:lang w:val="en-US" w:eastAsia="zh-CN" w:bidi="ar"/>
              </w:rPr>
              <w:t>投标人承诺在接到采购人紧急维修或技术支持通知后，能够保证在4小时内派专业技术人员抵达现场处理问题，有专门的技术负责人，可以直接联系咨询技术问题；并提供全天候（7×24小时）的电话或远程技术支持的，得2分。</w:t>
            </w:r>
          </w:p>
          <w:p w14:paraId="7BBCA429">
            <w:pPr>
              <w:keepNext w:val="0"/>
              <w:keepLines w:val="0"/>
              <w:pageBreakBefore w:val="0"/>
              <w:widowControl/>
              <w:numPr>
                <w:ilvl w:val="0"/>
                <w:numId w:val="0"/>
              </w:numPr>
              <w:wordWrap/>
              <w:overflowPunct/>
              <w:topLinePunct w:val="0"/>
              <w:bidi w:val="0"/>
              <w:spacing w:line="360" w:lineRule="auto"/>
              <w:ind w:right="0" w:rightChars="0"/>
              <w:jc w:val="left"/>
              <w:rPr>
                <w:rFonts w:hint="default" w:ascii="宋体" w:hAnsi="宋体" w:eastAsia="宋体" w:cs="宋体"/>
                <w:color w:val="FF0000"/>
                <w:kern w:val="0"/>
                <w:sz w:val="24"/>
                <w:szCs w:val="24"/>
                <w:highlight w:val="none"/>
                <w:lang w:val="en-US" w:eastAsia="zh-CN" w:bidi="ar"/>
              </w:rPr>
            </w:pPr>
            <w:r>
              <w:rPr>
                <w:rFonts w:hint="eastAsia" w:ascii="宋体" w:hAnsi="宋体" w:eastAsia="宋体" w:cs="宋体"/>
                <w:b/>
                <w:bCs/>
                <w:color w:val="FF0000"/>
                <w:kern w:val="0"/>
                <w:sz w:val="24"/>
                <w:szCs w:val="24"/>
                <w:highlight w:val="none"/>
                <w:lang w:val="en-US" w:eastAsia="zh-CN" w:bidi="ar"/>
              </w:rPr>
              <w:t>评审依据：提供承诺函并加盖投标人公章</w:t>
            </w:r>
          </w:p>
          <w:p w14:paraId="4D7E185E">
            <w:pPr>
              <w:adjustRightInd w:val="0"/>
              <w:spacing w:line="360" w:lineRule="auto"/>
              <w:rPr>
                <w:rFonts w:hint="eastAsia" w:ascii="宋体" w:hAnsi="宋体" w:eastAsia="宋体" w:cs="宋体"/>
                <w:b w:val="0"/>
                <w:bCs w:val="0"/>
                <w:color w:val="FF0000"/>
                <w:kern w:val="0"/>
                <w:sz w:val="24"/>
                <w:szCs w:val="24"/>
                <w:highlight w:val="none"/>
                <w:lang w:val="en-US" w:eastAsia="zh-CN" w:bidi="ar"/>
              </w:rPr>
            </w:pPr>
            <w:r>
              <w:rPr>
                <w:rFonts w:hint="eastAsia" w:ascii="宋体" w:hAnsi="宋体" w:eastAsia="宋体" w:cs="宋体"/>
                <w:b w:val="0"/>
                <w:bCs w:val="0"/>
                <w:color w:val="FF0000"/>
                <w:kern w:val="0"/>
                <w:sz w:val="24"/>
                <w:szCs w:val="24"/>
                <w:highlight w:val="none"/>
                <w:lang w:val="en-US" w:eastAsia="zh-CN" w:bidi="ar"/>
              </w:rPr>
              <w:t>投标人承诺在本项目所提供的产品质保期的基础上，每延长一年的，得3分； 本项最多得6分；</w:t>
            </w:r>
          </w:p>
          <w:p w14:paraId="40A49C2F">
            <w:pPr>
              <w:adjustRightInd w:val="0"/>
              <w:spacing w:line="360" w:lineRule="auto"/>
              <w:rPr>
                <w:rFonts w:hint="eastAsia" w:ascii="宋体" w:hAnsi="宋体" w:eastAsia="宋体" w:cs="宋体"/>
                <w:b/>
                <w:bCs/>
                <w:sz w:val="24"/>
                <w:szCs w:val="24"/>
                <w:highlight w:val="none"/>
                <w:lang w:val="en-US" w:eastAsia="zh-CN"/>
              </w:rPr>
            </w:pPr>
            <w:r>
              <w:rPr>
                <w:rFonts w:hint="eastAsia" w:ascii="宋体" w:hAnsi="宋体" w:eastAsia="宋体" w:cs="宋体"/>
                <w:b/>
                <w:bCs/>
                <w:color w:val="FF0000"/>
                <w:kern w:val="0"/>
                <w:sz w:val="24"/>
                <w:szCs w:val="24"/>
                <w:highlight w:val="none"/>
                <w:lang w:val="en-US" w:eastAsia="zh-CN" w:bidi="ar"/>
              </w:rPr>
              <w:t>评审依据：提供承诺函并加盖投标人公章</w:t>
            </w:r>
          </w:p>
        </w:tc>
        <w:tc>
          <w:tcPr>
            <w:tcW w:w="873" w:type="dxa"/>
            <w:noWrap w:val="0"/>
            <w:vAlign w:val="center"/>
          </w:tcPr>
          <w:p w14:paraId="27B45512">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8</w:t>
            </w:r>
            <w:r>
              <w:rPr>
                <w:rFonts w:hint="eastAsia" w:ascii="宋体" w:hAnsi="宋体" w:eastAsia="宋体" w:cs="宋体"/>
                <w:b/>
                <w:bCs/>
                <w:kern w:val="0"/>
                <w:sz w:val="24"/>
                <w:szCs w:val="24"/>
                <w:highlight w:val="none"/>
                <w:lang w:bidi="ar"/>
              </w:rPr>
              <w:t>分</w:t>
            </w:r>
          </w:p>
        </w:tc>
      </w:tr>
      <w:tr w14:paraId="2BF7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trPr>
        <w:tc>
          <w:tcPr>
            <w:tcW w:w="1026" w:type="dxa"/>
            <w:vMerge w:val="continue"/>
            <w:noWrap w:val="0"/>
            <w:vAlign w:val="top"/>
          </w:tcPr>
          <w:p w14:paraId="1FA1EFCF">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eastAsia" w:ascii="宋体" w:hAnsi="宋体" w:eastAsia="宋体" w:cs="宋体"/>
                <w:sz w:val="24"/>
                <w:szCs w:val="24"/>
                <w:highlight w:val="none"/>
              </w:rPr>
            </w:pPr>
          </w:p>
        </w:tc>
        <w:tc>
          <w:tcPr>
            <w:tcW w:w="1064" w:type="dxa"/>
            <w:noWrap w:val="0"/>
            <w:vAlign w:val="center"/>
          </w:tcPr>
          <w:p w14:paraId="00E67BC9">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售后服务认证</w:t>
            </w:r>
          </w:p>
          <w:p w14:paraId="3D510A90">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val="en-US" w:eastAsia="zh-CN" w:bidi="ar"/>
              </w:rPr>
            </w:pPr>
          </w:p>
        </w:tc>
        <w:tc>
          <w:tcPr>
            <w:tcW w:w="7496" w:type="dxa"/>
            <w:noWrap w:val="0"/>
            <w:vAlign w:val="center"/>
          </w:tcPr>
          <w:p w14:paraId="59B07BF5">
            <w:pPr>
              <w:numPr>
                <w:ilvl w:val="0"/>
                <w:numId w:val="0"/>
              </w:numPr>
              <w:spacing w:line="380" w:lineRule="exact"/>
              <w:jc w:val="left"/>
              <w:rPr>
                <w:rFonts w:hint="eastAsia" w:ascii="宋体" w:hAnsi="宋体" w:eastAsia="宋体" w:cs="宋体"/>
                <w:bCs/>
                <w:color w:val="auto"/>
                <w:kern w:val="0"/>
                <w:sz w:val="24"/>
                <w:highlight w:val="none"/>
                <w:lang w:val="en-GB"/>
              </w:rPr>
            </w:pPr>
            <w:r>
              <w:rPr>
                <w:rFonts w:hint="eastAsia" w:ascii="宋体" w:hAnsi="宋体" w:cs="宋体"/>
                <w:b/>
                <w:bCs w:val="0"/>
                <w:color w:val="auto"/>
                <w:kern w:val="0"/>
                <w:sz w:val="24"/>
                <w:highlight w:val="none"/>
                <w:lang w:val="en-US" w:eastAsia="zh-CN"/>
              </w:rPr>
              <w:t>投标人或所投抑尘车产品制造商</w:t>
            </w:r>
            <w:r>
              <w:rPr>
                <w:rFonts w:hint="eastAsia" w:ascii="宋体" w:hAnsi="宋体" w:cs="宋体"/>
                <w:bCs/>
                <w:color w:val="auto"/>
                <w:kern w:val="0"/>
                <w:sz w:val="24"/>
                <w:highlight w:val="none"/>
                <w:lang w:val="en-US" w:eastAsia="zh-CN"/>
              </w:rPr>
              <w:t>具</w:t>
            </w:r>
            <w:r>
              <w:rPr>
                <w:rFonts w:hint="eastAsia" w:ascii="宋体" w:hAnsi="宋体" w:eastAsia="宋体" w:cs="宋体"/>
                <w:bCs/>
                <w:color w:val="auto"/>
                <w:kern w:val="0"/>
                <w:sz w:val="24"/>
                <w:highlight w:val="none"/>
                <w:lang w:val="en-GB"/>
              </w:rPr>
              <w:t>有售后服务认证证书</w:t>
            </w:r>
            <w:r>
              <w:rPr>
                <w:rFonts w:hint="eastAsia" w:ascii="宋体" w:hAnsi="宋体" w:eastAsia="宋体" w:cs="宋体"/>
                <w:bCs/>
                <w:color w:val="auto"/>
                <w:kern w:val="0"/>
                <w:sz w:val="24"/>
                <w:highlight w:val="none"/>
                <w:lang w:val="en-US" w:eastAsia="zh-CN"/>
              </w:rPr>
              <w:t>三</w:t>
            </w:r>
            <w:r>
              <w:rPr>
                <w:rFonts w:hint="eastAsia" w:ascii="宋体" w:hAnsi="宋体" w:eastAsia="宋体" w:cs="宋体"/>
                <w:bCs/>
                <w:color w:val="auto"/>
                <w:kern w:val="0"/>
                <w:sz w:val="24"/>
                <w:highlight w:val="none"/>
                <w:lang w:val="en-GB"/>
              </w:rPr>
              <w:t>星级的得1分；具有售后服务认证证书</w:t>
            </w:r>
            <w:r>
              <w:rPr>
                <w:rFonts w:hint="eastAsia" w:ascii="宋体" w:hAnsi="宋体" w:eastAsia="宋体" w:cs="宋体"/>
                <w:bCs/>
                <w:color w:val="auto"/>
                <w:kern w:val="0"/>
                <w:sz w:val="24"/>
                <w:highlight w:val="none"/>
                <w:lang w:val="en-US" w:eastAsia="zh-CN"/>
              </w:rPr>
              <w:t>四</w:t>
            </w:r>
            <w:r>
              <w:rPr>
                <w:rFonts w:hint="eastAsia" w:ascii="宋体" w:hAnsi="宋体" w:eastAsia="宋体" w:cs="宋体"/>
                <w:bCs/>
                <w:color w:val="auto"/>
                <w:kern w:val="0"/>
                <w:sz w:val="24"/>
                <w:highlight w:val="none"/>
                <w:lang w:val="en-GB"/>
              </w:rPr>
              <w:t>星级的得</w:t>
            </w:r>
            <w:r>
              <w:rPr>
                <w:rFonts w:hint="eastAsia" w:ascii="宋体" w:hAnsi="宋体" w:eastAsia="宋体" w:cs="宋体"/>
                <w:bCs/>
                <w:color w:val="auto"/>
                <w:kern w:val="0"/>
                <w:sz w:val="24"/>
                <w:highlight w:val="none"/>
                <w:lang w:val="en-US" w:eastAsia="zh-CN"/>
              </w:rPr>
              <w:t>2</w:t>
            </w:r>
            <w:r>
              <w:rPr>
                <w:rFonts w:hint="eastAsia" w:ascii="宋体" w:hAnsi="宋体" w:eastAsia="宋体" w:cs="宋体"/>
                <w:bCs/>
                <w:color w:val="auto"/>
                <w:kern w:val="0"/>
                <w:sz w:val="24"/>
                <w:highlight w:val="none"/>
                <w:lang w:val="en-GB"/>
              </w:rPr>
              <w:t>分；具有售后服务认证证书</w:t>
            </w:r>
            <w:r>
              <w:rPr>
                <w:rFonts w:hint="eastAsia" w:ascii="宋体" w:hAnsi="宋体" w:eastAsia="宋体" w:cs="宋体"/>
                <w:bCs/>
                <w:color w:val="auto"/>
                <w:kern w:val="0"/>
                <w:sz w:val="24"/>
                <w:highlight w:val="none"/>
                <w:lang w:val="en-US" w:eastAsia="zh-CN"/>
              </w:rPr>
              <w:t>五</w:t>
            </w:r>
            <w:r>
              <w:rPr>
                <w:rFonts w:hint="eastAsia" w:ascii="宋体" w:hAnsi="宋体" w:eastAsia="宋体" w:cs="宋体"/>
                <w:bCs/>
                <w:color w:val="auto"/>
                <w:kern w:val="0"/>
                <w:sz w:val="24"/>
                <w:highlight w:val="none"/>
                <w:lang w:val="en-GB"/>
              </w:rPr>
              <w:t>星级</w:t>
            </w:r>
            <w:r>
              <w:rPr>
                <w:rFonts w:hint="eastAsia" w:ascii="宋体" w:hAnsi="宋体" w:cs="宋体"/>
                <w:bCs/>
                <w:color w:val="auto"/>
                <w:kern w:val="0"/>
                <w:sz w:val="24"/>
                <w:highlight w:val="none"/>
                <w:lang w:val="en-US" w:eastAsia="zh-CN"/>
              </w:rPr>
              <w:t>及以上</w:t>
            </w:r>
            <w:r>
              <w:rPr>
                <w:rFonts w:hint="eastAsia" w:ascii="宋体" w:hAnsi="宋体" w:eastAsia="宋体" w:cs="宋体"/>
                <w:bCs/>
                <w:color w:val="auto"/>
                <w:kern w:val="0"/>
                <w:sz w:val="24"/>
                <w:highlight w:val="none"/>
                <w:lang w:val="en-GB"/>
              </w:rPr>
              <w:t>的得</w:t>
            </w:r>
            <w:r>
              <w:rPr>
                <w:rFonts w:hint="eastAsia" w:ascii="宋体" w:hAnsi="宋体" w:eastAsia="宋体" w:cs="宋体"/>
                <w:bCs/>
                <w:color w:val="auto"/>
                <w:kern w:val="0"/>
                <w:sz w:val="24"/>
                <w:highlight w:val="none"/>
                <w:lang w:val="en-US" w:eastAsia="zh-CN"/>
              </w:rPr>
              <w:t>3</w:t>
            </w:r>
            <w:r>
              <w:rPr>
                <w:rFonts w:hint="eastAsia" w:ascii="宋体" w:hAnsi="宋体" w:eastAsia="宋体" w:cs="宋体"/>
                <w:bCs/>
                <w:color w:val="auto"/>
                <w:kern w:val="0"/>
                <w:sz w:val="24"/>
                <w:highlight w:val="none"/>
                <w:lang w:val="en-GB"/>
              </w:rPr>
              <w:t>分；不具有以上证书则该项不得分。</w:t>
            </w:r>
          </w:p>
          <w:p w14:paraId="392E3F30">
            <w:pPr>
              <w:pStyle w:val="6"/>
              <w:keepNext w:val="0"/>
              <w:keepLines w:val="0"/>
              <w:pageBreakBefore w:val="0"/>
              <w:widowControl w:val="0"/>
              <w:kinsoku/>
              <w:wordWrap/>
              <w:overflowPunct/>
              <w:topLinePunct w:val="0"/>
              <w:autoSpaceDE/>
              <w:autoSpaceDN/>
              <w:bidi w:val="0"/>
              <w:adjustRightInd/>
              <w:snapToGrid/>
              <w:spacing w:after="0" w:line="320" w:lineRule="exact"/>
              <w:ind w:left="0" w:leftChars="0"/>
              <w:textAlignment w:val="auto"/>
              <w:rPr>
                <w:rFonts w:hint="eastAsia" w:ascii="宋体" w:hAnsi="宋体" w:eastAsia="宋体" w:cs="宋体"/>
                <w:sz w:val="24"/>
                <w:szCs w:val="24"/>
                <w:highlight w:val="none"/>
                <w:lang w:val="en-US" w:eastAsia="zh-CN"/>
              </w:rPr>
            </w:pPr>
            <w:r>
              <w:rPr>
                <w:rFonts w:hint="eastAsia" w:ascii="宋体" w:hAnsi="宋体" w:eastAsia="宋体" w:cs="宋体"/>
                <w:b/>
                <w:color w:val="auto"/>
                <w:kern w:val="0"/>
                <w:sz w:val="24"/>
                <w:highlight w:val="none"/>
              </w:rPr>
              <w:t>评审依据：以全国认证认可信息公共服务平台</w:t>
            </w:r>
            <w:r>
              <w:rPr>
                <w:rFonts w:hint="eastAsia" w:ascii="宋体" w:hAnsi="宋体" w:eastAsia="宋体" w:cs="宋体"/>
                <w:b/>
                <w:color w:val="auto"/>
                <w:kern w:val="0"/>
                <w:sz w:val="24"/>
                <w:highlight w:val="none"/>
                <w:lang w:eastAsia="zh-CN"/>
              </w:rPr>
              <w:t>（http://cx.cnca.cn/）</w:t>
            </w:r>
            <w:r>
              <w:rPr>
                <w:rFonts w:hint="eastAsia" w:ascii="宋体" w:hAnsi="宋体" w:eastAsia="宋体" w:cs="宋体"/>
                <w:b/>
                <w:color w:val="auto"/>
                <w:kern w:val="0"/>
                <w:sz w:val="24"/>
                <w:highlight w:val="none"/>
                <w:lang w:val="en-US" w:eastAsia="zh-CN"/>
              </w:rPr>
              <w:t>,</w:t>
            </w:r>
            <w:r>
              <w:rPr>
                <w:rFonts w:hint="eastAsia" w:ascii="宋体" w:hAnsi="宋体" w:eastAsia="宋体" w:cs="宋体"/>
                <w:b/>
                <w:color w:val="auto"/>
                <w:kern w:val="0"/>
                <w:sz w:val="24"/>
                <w:highlight w:val="none"/>
              </w:rPr>
              <w:t>查询结果为准，投标文件中附证书</w:t>
            </w:r>
            <w:r>
              <w:rPr>
                <w:rFonts w:hint="eastAsia" w:ascii="宋体" w:hAnsi="宋体" w:eastAsia="宋体" w:cs="宋体"/>
                <w:b/>
                <w:color w:val="auto"/>
                <w:kern w:val="0"/>
                <w:sz w:val="24"/>
                <w:highlight w:val="none"/>
                <w:lang w:val="en-US" w:eastAsia="zh-CN"/>
              </w:rPr>
              <w:t>复印件</w:t>
            </w:r>
            <w:r>
              <w:rPr>
                <w:rFonts w:hint="eastAsia" w:ascii="宋体" w:hAnsi="宋体" w:eastAsia="宋体" w:cs="宋体"/>
                <w:b/>
                <w:color w:val="auto"/>
                <w:kern w:val="0"/>
                <w:sz w:val="24"/>
                <w:highlight w:val="none"/>
              </w:rPr>
              <w:t>及查询结果网页截图</w:t>
            </w:r>
            <w:r>
              <w:rPr>
                <w:rFonts w:hint="eastAsia" w:ascii="宋体" w:hAnsi="宋体" w:eastAsia="宋体" w:cs="宋体"/>
                <w:b/>
                <w:color w:val="auto"/>
                <w:kern w:val="0"/>
                <w:sz w:val="24"/>
                <w:highlight w:val="none"/>
                <w:lang w:val="en-US" w:eastAsia="zh-CN"/>
              </w:rPr>
              <w:t>加盖投标人公章</w:t>
            </w:r>
            <w:r>
              <w:rPr>
                <w:rFonts w:hint="eastAsia" w:ascii="宋体" w:hAnsi="宋体" w:eastAsia="宋体" w:cs="宋体"/>
                <w:b/>
                <w:color w:val="auto"/>
                <w:kern w:val="0"/>
                <w:sz w:val="24"/>
                <w:highlight w:val="none"/>
              </w:rPr>
              <w:t>。</w:t>
            </w:r>
          </w:p>
        </w:tc>
        <w:tc>
          <w:tcPr>
            <w:tcW w:w="873" w:type="dxa"/>
            <w:noWrap w:val="0"/>
            <w:vAlign w:val="center"/>
          </w:tcPr>
          <w:p w14:paraId="6FA61DD0">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eastAsia" w:ascii="宋体" w:hAnsi="宋体" w:eastAsia="宋体" w:cs="宋体"/>
                <w:b/>
                <w:bCs/>
                <w:kern w:val="0"/>
                <w:sz w:val="24"/>
                <w:szCs w:val="24"/>
                <w:highlight w:val="none"/>
                <w:lang w:bidi="ar"/>
              </w:rPr>
            </w:pPr>
            <w:r>
              <w:rPr>
                <w:rFonts w:hint="eastAsia" w:ascii="宋体" w:hAnsi="宋体" w:eastAsia="宋体" w:cs="宋体"/>
                <w:b/>
                <w:bCs/>
                <w:kern w:val="0"/>
                <w:sz w:val="24"/>
                <w:szCs w:val="24"/>
                <w:highlight w:val="none"/>
                <w:lang w:val="en-US" w:eastAsia="zh-CN" w:bidi="ar"/>
              </w:rPr>
              <w:t>3</w:t>
            </w:r>
            <w:r>
              <w:rPr>
                <w:rFonts w:hint="eastAsia" w:ascii="宋体" w:hAnsi="宋体" w:eastAsia="宋体" w:cs="宋体"/>
                <w:b/>
                <w:bCs/>
                <w:kern w:val="0"/>
                <w:sz w:val="24"/>
                <w:szCs w:val="24"/>
                <w:highlight w:val="none"/>
                <w:lang w:bidi="ar"/>
              </w:rPr>
              <w:t>分</w:t>
            </w:r>
          </w:p>
        </w:tc>
      </w:tr>
    </w:tbl>
    <w:p w14:paraId="7CFE450F">
      <w:pPr>
        <w:widowControl/>
        <w:shd w:val="clear" w:color="auto" w:fill="auto"/>
        <w:snapToGrid w:val="0"/>
        <w:spacing w:line="336" w:lineRule="auto"/>
        <w:outlineLvl w:val="9"/>
        <w:rPr>
          <w:rFonts w:hint="eastAsia" w:asciiTheme="minorEastAsia" w:hAnsiTheme="minorEastAsia" w:eastAsiaTheme="minorEastAsia" w:cstheme="minorEastAsia"/>
          <w:sz w:val="24"/>
          <w:szCs w:val="24"/>
          <w:lang w:val="en-US" w:eastAsia="zh-CN"/>
        </w:rPr>
      </w:pPr>
    </w:p>
    <w:sectPr>
      <w:headerReference r:id="rId3" w:type="default"/>
      <w:footerReference r:id="rId4" w:type="default"/>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6D1D4">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9376C41">
                          <w:pPr>
                            <w:pStyle w:val="10"/>
                            <w:jc w:val="center"/>
                          </w:pPr>
                          <w:r>
                            <w:fldChar w:fldCharType="begin"/>
                          </w:r>
                          <w:r>
                            <w:instrText xml:space="preserve"> PAGE   \* MERGEFORMAT </w:instrText>
                          </w:r>
                          <w:r>
                            <w:fldChar w:fldCharType="separate"/>
                          </w:r>
                          <w:r>
                            <w:rPr>
                              <w:lang w:val="zh-CN"/>
                            </w:rPr>
                            <w:t>20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39376C41">
                    <w:pPr>
                      <w:pStyle w:val="10"/>
                      <w:jc w:val="center"/>
                    </w:pPr>
                    <w:r>
                      <w:fldChar w:fldCharType="begin"/>
                    </w:r>
                    <w:r>
                      <w:instrText xml:space="preserve"> PAGE   \* MERGEFORMAT </w:instrText>
                    </w:r>
                    <w:r>
                      <w:fldChar w:fldCharType="separate"/>
                    </w:r>
                    <w:r>
                      <w:rPr>
                        <w:lang w:val="zh-CN"/>
                      </w:rPr>
                      <w:t>20</w:t>
                    </w:r>
                    <w:r>
                      <w:fldChar w:fldCharType="end"/>
                    </w:r>
                  </w:p>
                </w:txbxContent>
              </v:textbox>
            </v:shape>
          </w:pict>
        </mc:Fallback>
      </mc:AlternateContent>
    </w:r>
  </w:p>
  <w:p w14:paraId="55E1DFEA">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1D059">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112D76"/>
    <w:multiLevelType w:val="singleLevel"/>
    <w:tmpl w:val="28112D76"/>
    <w:lvl w:ilvl="0" w:tentative="0">
      <w:start w:val="3"/>
      <w:numFmt w:val="decimal"/>
      <w:suff w:val="nothing"/>
      <w:lvlText w:val="%1、"/>
      <w:lvlJc w:val="left"/>
    </w:lvl>
  </w:abstractNum>
  <w:abstractNum w:abstractNumId="1">
    <w:nsid w:val="5C2652E7"/>
    <w:multiLevelType w:val="singleLevel"/>
    <w:tmpl w:val="5C2652E7"/>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4MGVkYTg5OTA5N2I0MjFiMjAzYzIyZmRhNzRjZGMifQ=="/>
    <w:docVar w:name="KSO_WPS_MARK_KEY" w:val="b7f6a430-581b-4d6d-90ac-c0fdf6c69b99"/>
  </w:docVars>
  <w:rsids>
    <w:rsidRoot w:val="00000000"/>
    <w:rsid w:val="014D36CD"/>
    <w:rsid w:val="022A3975"/>
    <w:rsid w:val="02657F3A"/>
    <w:rsid w:val="032D1C8B"/>
    <w:rsid w:val="050470AD"/>
    <w:rsid w:val="0795269C"/>
    <w:rsid w:val="07EE3A43"/>
    <w:rsid w:val="0893749F"/>
    <w:rsid w:val="092811AA"/>
    <w:rsid w:val="096F51F2"/>
    <w:rsid w:val="0CBD21BF"/>
    <w:rsid w:val="0EA224A6"/>
    <w:rsid w:val="0F0D5446"/>
    <w:rsid w:val="0FCD24DF"/>
    <w:rsid w:val="10442DF5"/>
    <w:rsid w:val="13F84916"/>
    <w:rsid w:val="19193C38"/>
    <w:rsid w:val="1EE74B73"/>
    <w:rsid w:val="25D32EFB"/>
    <w:rsid w:val="268D3316"/>
    <w:rsid w:val="2C8671CD"/>
    <w:rsid w:val="2D3947C7"/>
    <w:rsid w:val="2F20249B"/>
    <w:rsid w:val="2FB3086B"/>
    <w:rsid w:val="30EA7B6C"/>
    <w:rsid w:val="31036AD6"/>
    <w:rsid w:val="31070FF1"/>
    <w:rsid w:val="36B716C1"/>
    <w:rsid w:val="3AAA0541"/>
    <w:rsid w:val="3D790266"/>
    <w:rsid w:val="3FEB552D"/>
    <w:rsid w:val="407C5A02"/>
    <w:rsid w:val="44694A5B"/>
    <w:rsid w:val="483242B2"/>
    <w:rsid w:val="487D7CB7"/>
    <w:rsid w:val="4EFE25A7"/>
    <w:rsid w:val="50F7359B"/>
    <w:rsid w:val="52EE34C1"/>
    <w:rsid w:val="582241C7"/>
    <w:rsid w:val="59265BC1"/>
    <w:rsid w:val="5BE31546"/>
    <w:rsid w:val="5D064542"/>
    <w:rsid w:val="5FDD6CEA"/>
    <w:rsid w:val="618D1EA5"/>
    <w:rsid w:val="61C96577"/>
    <w:rsid w:val="62266F07"/>
    <w:rsid w:val="68D0643D"/>
    <w:rsid w:val="69540E1C"/>
    <w:rsid w:val="6C1264F8"/>
    <w:rsid w:val="6EBE002F"/>
    <w:rsid w:val="6FAAD493"/>
    <w:rsid w:val="70433DC9"/>
    <w:rsid w:val="71816E6E"/>
    <w:rsid w:val="72250A97"/>
    <w:rsid w:val="74804B33"/>
    <w:rsid w:val="75F10669"/>
    <w:rsid w:val="788543C8"/>
    <w:rsid w:val="78F56DDC"/>
    <w:rsid w:val="7BDA78A7"/>
    <w:rsid w:val="7F670A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outlineLvl w:val="0"/>
    </w:pPr>
    <w:rPr>
      <w:rFonts w:ascii="宋体"/>
      <w:sz w:val="28"/>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bCs/>
      <w:sz w:val="32"/>
      <w:szCs w:val="32"/>
    </w:rPr>
  </w:style>
  <w:style w:type="paragraph" w:styleId="4">
    <w:name w:val="heading 8"/>
    <w:basedOn w:val="1"/>
    <w:next w:val="1"/>
    <w:qFormat/>
    <w:uiPriority w:val="0"/>
    <w:pPr>
      <w:keepNext/>
      <w:keepLines/>
      <w:spacing w:before="240" w:after="64" w:line="320" w:lineRule="auto"/>
      <w:outlineLvl w:val="7"/>
    </w:pPr>
    <w:rPr>
      <w:rFonts w:ascii="Arial" w:hAnsi="Arial" w:eastAsia="黑体"/>
      <w:kern w:val="0"/>
      <w:sz w:val="24"/>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99"/>
    <w:pPr>
      <w:spacing w:after="120"/>
    </w:pPr>
  </w:style>
  <w:style w:type="paragraph" w:styleId="7">
    <w:name w:val="Body Text Indent"/>
    <w:basedOn w:val="1"/>
    <w:next w:val="8"/>
    <w:qFormat/>
    <w:uiPriority w:val="0"/>
    <w:pPr>
      <w:autoSpaceDE w:val="0"/>
      <w:autoSpaceDN w:val="0"/>
      <w:adjustRightInd w:val="0"/>
      <w:spacing w:line="360" w:lineRule="auto"/>
      <w:ind w:firstLine="480"/>
      <w:jc w:val="left"/>
    </w:pPr>
    <w:rPr>
      <w:rFonts w:ascii="宋体" w:hAnsi="宋体"/>
      <w:kern w:val="0"/>
      <w:sz w:val="24"/>
    </w:rPr>
  </w:style>
  <w:style w:type="paragraph" w:styleId="8">
    <w:name w:val="Body Text Indent 2"/>
    <w:basedOn w:val="1"/>
    <w:qFormat/>
    <w:uiPriority w:val="0"/>
    <w:pPr>
      <w:spacing w:line="312" w:lineRule="auto"/>
      <w:ind w:firstLine="480" w:firstLineChars="200"/>
    </w:pPr>
    <w:rPr>
      <w:sz w:val="24"/>
    </w:rPr>
  </w:style>
  <w:style w:type="paragraph" w:styleId="9">
    <w:name w:val="Plain Text"/>
    <w:basedOn w:val="1"/>
    <w:qFormat/>
    <w:uiPriority w:val="99"/>
    <w:rPr>
      <w:rFonts w:ascii="宋体" w:hAnsi="Courier New"/>
      <w:szCs w:val="21"/>
    </w:rPr>
  </w:style>
  <w:style w:type="paragraph" w:styleId="10">
    <w:name w:val="footer"/>
    <w:basedOn w:val="1"/>
    <w:qFormat/>
    <w:uiPriority w:val="99"/>
    <w:pPr>
      <w:tabs>
        <w:tab w:val="center" w:pos="4153"/>
        <w:tab w:val="right" w:pos="8306"/>
      </w:tabs>
      <w:snapToGrid w:val="0"/>
      <w:jc w:val="left"/>
    </w:pPr>
    <w:rPr>
      <w:sz w:val="18"/>
    </w:rPr>
  </w:style>
  <w:style w:type="paragraph" w:styleId="11">
    <w:name w:val="envelope return"/>
    <w:basedOn w:val="1"/>
    <w:qFormat/>
    <w:uiPriority w:val="99"/>
    <w:pPr>
      <w:snapToGrid w:val="0"/>
    </w:pPr>
    <w:rPr>
      <w:rFonts w:ascii="Arial" w:hAnsi="Arial"/>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13">
    <w:name w:val="toc 1"/>
    <w:basedOn w:val="1"/>
    <w:next w:val="1"/>
    <w:qFormat/>
    <w:uiPriority w:val="0"/>
    <w:pPr>
      <w:tabs>
        <w:tab w:val="right" w:leader="dot" w:pos="10070"/>
      </w:tabs>
      <w:spacing w:line="840" w:lineRule="exact"/>
      <w:ind w:left="1152" w:hanging="1152" w:hangingChars="360"/>
    </w:pPr>
  </w:style>
  <w:style w:type="paragraph" w:styleId="14">
    <w:name w:val="toc 2"/>
    <w:basedOn w:val="1"/>
    <w:next w:val="1"/>
    <w:qFormat/>
    <w:uiPriority w:val="39"/>
    <w:pPr>
      <w:tabs>
        <w:tab w:val="right" w:leader="dot" w:pos="9629"/>
      </w:tabs>
    </w:pPr>
  </w:style>
  <w:style w:type="paragraph" w:styleId="15">
    <w:name w:val="Normal (Web)"/>
    <w:basedOn w:val="1"/>
    <w:next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next w:val="1"/>
    <w:qFormat/>
    <w:uiPriority w:val="99"/>
    <w:pPr>
      <w:spacing w:line="640" w:lineRule="atLeast"/>
      <w:jc w:val="center"/>
    </w:pPr>
    <w:rPr>
      <w:rFonts w:ascii="Arial" w:hAnsi="Arial" w:eastAsia="方正小标宋_GBK" w:cs="Arial"/>
      <w:bCs/>
      <w:szCs w:val="32"/>
    </w:rPr>
  </w:style>
  <w:style w:type="paragraph" w:styleId="17">
    <w:name w:val="Body Text First Indent"/>
    <w:basedOn w:val="6"/>
    <w:qFormat/>
    <w:uiPriority w:val="0"/>
    <w:pPr>
      <w:ind w:firstLine="420" w:firstLineChars="100"/>
    </w:pPr>
  </w:style>
  <w:style w:type="paragraph" w:styleId="18">
    <w:name w:val="Body Text First Indent 2"/>
    <w:basedOn w:val="7"/>
    <w:qFormat/>
    <w:uiPriority w:val="0"/>
    <w:pPr>
      <w:autoSpaceDE/>
      <w:autoSpaceDN/>
      <w:adjustRightInd/>
      <w:spacing w:after="120" w:line="240" w:lineRule="auto"/>
      <w:ind w:left="420" w:leftChars="200" w:firstLine="420" w:firstLineChars="200"/>
      <w:jc w:val="both"/>
    </w:pPr>
    <w:rPr>
      <w:rFonts w:ascii="Times New Roman" w:hAnsi="Times New Roman"/>
      <w:kern w:val="2"/>
      <w:sz w:val="21"/>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rPr>
  </w:style>
  <w:style w:type="paragraph" w:customStyle="1" w:styleId="23">
    <w:name w:val="正文缩进1"/>
    <w:basedOn w:val="1"/>
    <w:next w:val="15"/>
    <w:qFormat/>
    <w:uiPriority w:val="0"/>
    <w:pPr>
      <w:ind w:firstLine="200" w:firstLineChars="200"/>
    </w:pPr>
    <w:rPr>
      <w:szCs w:val="24"/>
    </w:rPr>
  </w:style>
  <w:style w:type="paragraph" w:customStyle="1" w:styleId="24">
    <w:name w:val="UserStyle_0"/>
    <w:basedOn w:val="1"/>
    <w:qFormat/>
    <w:uiPriority w:val="0"/>
    <w:pPr>
      <w:ind w:left="482" w:firstLine="200" w:firstLineChars="200"/>
      <w:textAlignment w:val="baseline"/>
    </w:pPr>
  </w:style>
  <w:style w:type="paragraph" w:customStyle="1" w:styleId="25">
    <w:name w:val="正文 New"/>
    <w:qFormat/>
    <w:uiPriority w:val="0"/>
    <w:pPr>
      <w:widowControl w:val="0"/>
      <w:jc w:val="both"/>
    </w:pPr>
    <w:rPr>
      <w:rFonts w:ascii="Calibri" w:hAnsi="Calibri" w:eastAsia="宋体" w:cs="黑体"/>
      <w:kern w:val="2"/>
      <w:sz w:val="21"/>
      <w:szCs w:val="24"/>
      <w:lang w:val="en-US" w:eastAsia="zh-CN" w:bidi="ar-SA"/>
    </w:rPr>
  </w:style>
  <w:style w:type="paragraph" w:customStyle="1" w:styleId="26">
    <w:name w:val="Table Paragraph"/>
    <w:basedOn w:val="1"/>
    <w:qFormat/>
    <w:uiPriority w:val="1"/>
  </w:style>
  <w:style w:type="paragraph" w:customStyle="1" w:styleId="27">
    <w:name w:val="Body text|1"/>
    <w:basedOn w:val="1"/>
    <w:qFormat/>
    <w:uiPriority w:val="0"/>
    <w:pPr>
      <w:spacing w:line="403" w:lineRule="auto"/>
    </w:pPr>
    <w:rPr>
      <w:rFonts w:ascii="宋体" w:hAnsi="宋体" w:cs="宋体"/>
      <w:sz w:val="20"/>
      <w:lang w:val="zh-TW" w:eastAsia="zh-TW" w:bidi="zh-TW"/>
    </w:rPr>
  </w:style>
  <w:style w:type="table" w:customStyle="1" w:styleId="28">
    <w:name w:val="Table Normal"/>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paragraph" w:customStyle="1" w:styleId="29">
    <w:name w:val="Heading 6"/>
    <w:basedOn w:val="1"/>
    <w:qFormat/>
    <w:uiPriority w:val="1"/>
    <w:pPr>
      <w:spacing w:before="14"/>
      <w:jc w:val="left"/>
      <w:outlineLvl w:val="6"/>
    </w:pPr>
    <w:rPr>
      <w:rFonts w:ascii="宋体" w:hAnsi="宋体"/>
      <w:kern w:val="0"/>
      <w:sz w:val="28"/>
      <w:szCs w:val="28"/>
      <w:lang w:eastAsia="en-US"/>
    </w:rPr>
  </w:style>
  <w:style w:type="paragraph" w:customStyle="1" w:styleId="30">
    <w:name w:val="PlainText"/>
    <w:basedOn w:val="1"/>
    <w:qFormat/>
    <w:uiPriority w:val="0"/>
    <w:pPr>
      <w:jc w:val="both"/>
      <w:textAlignment w:val="baseline"/>
    </w:pPr>
    <w:rPr>
      <w:rFonts w:ascii="宋体" w:hAnsi="Courier New"/>
      <w:kern w:val="2"/>
      <w:sz w:val="21"/>
      <w:szCs w:val="24"/>
      <w:lang w:val="en-US" w:eastAsia="zh-CN" w:bidi="ar-SA"/>
    </w:rPr>
  </w:style>
  <w:style w:type="paragraph" w:customStyle="1" w:styleId="31">
    <w:name w:val="纯文本1"/>
    <w:basedOn w:val="1"/>
    <w:qFormat/>
    <w:uiPriority w:val="99"/>
    <w:rPr>
      <w:rFonts w:ascii="宋体" w:hAnsi="Courier New"/>
      <w:kern w:val="0"/>
      <w:sz w:val="20"/>
    </w:rPr>
  </w:style>
  <w:style w:type="paragraph" w:customStyle="1" w:styleId="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3">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1670</Words>
  <Characters>2017</Characters>
  <Lines>0</Lines>
  <Paragraphs>0</Paragraphs>
  <TotalTime>1</TotalTime>
  <ScaleCrop>false</ScaleCrop>
  <LinksUpToDate>false</LinksUpToDate>
  <CharactersWithSpaces>2036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2023-10-08T02:25:00Z</dcterms:created>
  <dc:creator>吴国锋</dc:creator>
  <cp:lastModifiedBy>Clytze</cp:lastModifiedBy>
  <cp:lastPrinted>2025-04-03T06:59:00Z</cp:lastPrinted>
  <dcterms:modified xsi:type="dcterms:W3CDTF">2026-08-17T01:33:57Z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12C6EE048AF84823BFEFB8FEB960C19D_13</vt:lpwstr>
  </property>
  <property fmtid="{D5CDD505-2E9C-101B-9397-08002B2CF9AE}" pid="4" name="KSOTemplateDocerSaveRecord">
    <vt:lpwstr>eyJoZGlkIjoiYzI4NDlmMDhjNjE5NThkMzI5YzUwOTM0OTg3YzQ1ZDEiLCJ1c2VySWQiOiIyODAzMzM3OTUifQ==</vt:lpwstr>
  </property>
</Properties>
</file>