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737B7">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jc w:val="both"/>
        <w:textAlignment w:val="auto"/>
        <w:rPr>
          <w:rFonts w:hint="eastAsia" w:ascii="宋体" w:hAnsi="宋体" w:eastAsia="宋体" w:cs="宋体"/>
          <w:b/>
          <w:color w:val="auto"/>
          <w:kern w:val="0"/>
          <w:sz w:val="32"/>
          <w:szCs w:val="32"/>
          <w:highlight w:val="none"/>
          <w:lang w:val="en-US" w:eastAsia="zh-CN" w:bidi="ar-SA"/>
        </w:rPr>
      </w:pPr>
      <w:bookmarkStart w:id="3" w:name="_GoBack"/>
      <w:r>
        <w:rPr>
          <w:rFonts w:hint="eastAsia" w:ascii="宋体" w:hAnsi="宋体" w:eastAsia="宋体" w:cs="宋体"/>
          <w:b/>
          <w:color w:val="auto"/>
          <w:kern w:val="0"/>
          <w:sz w:val="32"/>
          <w:szCs w:val="32"/>
          <w:highlight w:val="none"/>
          <w:lang w:val="en-US" w:eastAsia="zh-CN" w:bidi="ar-SA"/>
        </w:rPr>
        <w:t>附件：</w:t>
      </w:r>
      <w:bookmarkStart w:id="0" w:name="_Toc8825"/>
      <w:bookmarkStart w:id="1" w:name="_Toc26193"/>
      <w:bookmarkStart w:id="2" w:name="_Toc13080"/>
      <w:r>
        <w:rPr>
          <w:rFonts w:hint="eastAsia" w:ascii="宋体" w:hAnsi="宋体" w:eastAsia="宋体" w:cs="宋体"/>
          <w:b/>
          <w:color w:val="auto"/>
          <w:kern w:val="0"/>
          <w:sz w:val="32"/>
          <w:szCs w:val="32"/>
          <w:highlight w:val="none"/>
          <w:lang w:val="en-US" w:eastAsia="zh-CN" w:bidi="ar-SA"/>
        </w:rPr>
        <w:t xml:space="preserve"> </w:t>
      </w:r>
      <w:bookmarkEnd w:id="0"/>
      <w:r>
        <w:rPr>
          <w:rFonts w:hint="eastAsia" w:ascii="宋体" w:hAnsi="宋体" w:eastAsia="宋体" w:cs="宋体"/>
          <w:b/>
          <w:color w:val="auto"/>
          <w:kern w:val="0"/>
          <w:sz w:val="32"/>
          <w:szCs w:val="32"/>
          <w:highlight w:val="none"/>
          <w:lang w:val="en-US" w:eastAsia="zh-CN" w:bidi="ar-SA"/>
        </w:rPr>
        <w:t>项目清单及技术要求、商务条款</w:t>
      </w:r>
      <w:bookmarkEnd w:id="3"/>
      <w:bookmarkEnd w:id="1"/>
    </w:p>
    <w:bookmarkEnd w:id="2"/>
    <w:p w14:paraId="3A3C1B5A">
      <w:pPr>
        <w:pStyle w:val="29"/>
        <w:numPr>
          <w:ilvl w:val="0"/>
          <w:numId w:val="0"/>
        </w:numPr>
        <w:tabs>
          <w:tab w:val="left" w:pos="9781"/>
        </w:tabs>
        <w:spacing w:before="480" w:beforeLines="200" w:line="360" w:lineRule="auto"/>
        <w:rPr>
          <w:rFonts w:hint="eastAsia" w:cs="宋体"/>
          <w:b/>
          <w:color w:val="auto"/>
          <w:sz w:val="32"/>
          <w:szCs w:val="32"/>
          <w:highlight w:val="none"/>
          <w:lang w:eastAsia="zh-CN"/>
        </w:rPr>
      </w:pPr>
      <w:r>
        <w:rPr>
          <w:rFonts w:hint="eastAsia" w:ascii="宋体" w:hAnsi="宋体" w:eastAsia="Arial" w:cs="宋体"/>
          <w:b/>
          <w:snapToGrid w:val="0"/>
          <w:color w:val="auto"/>
          <w:kern w:val="0"/>
          <w:sz w:val="32"/>
          <w:szCs w:val="32"/>
          <w:lang w:val="en-US" w:eastAsia="zh-CN" w:bidi="ar-SA"/>
        </w:rPr>
        <w:t>一、</w:t>
      </w:r>
      <w:r>
        <w:rPr>
          <w:rFonts w:hint="eastAsia" w:cs="宋体"/>
          <w:b/>
          <w:color w:val="auto"/>
          <w:sz w:val="32"/>
          <w:szCs w:val="32"/>
          <w:highlight w:val="none"/>
          <w:lang w:eastAsia="zh-CN"/>
        </w:rPr>
        <w:t xml:space="preserve">项目清单及技术要求 </w:t>
      </w:r>
    </w:p>
    <w:tbl>
      <w:tblPr>
        <w:tblStyle w:val="20"/>
        <w:tblW w:w="10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186"/>
        <w:gridCol w:w="4035"/>
        <w:gridCol w:w="641"/>
        <w:gridCol w:w="1010"/>
        <w:gridCol w:w="1233"/>
        <w:gridCol w:w="1324"/>
      </w:tblGrid>
      <w:tr w14:paraId="62BF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7BDF37AD">
            <w:pPr>
              <w:snapToGrid w:val="0"/>
              <w:spacing w:line="336" w:lineRule="auto"/>
              <w:ind w:right="-128" w:rightChars="-61"/>
              <w:jc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rPr>
              <w:t>序号</w:t>
            </w:r>
          </w:p>
        </w:tc>
        <w:tc>
          <w:tcPr>
            <w:tcW w:w="1186" w:type="dxa"/>
            <w:vAlign w:val="center"/>
          </w:tcPr>
          <w:p w14:paraId="0E0D3C38">
            <w:pPr>
              <w:tabs>
                <w:tab w:val="left" w:pos="1480"/>
              </w:tabs>
              <w:snapToGrid w:val="0"/>
              <w:spacing w:line="336" w:lineRule="auto"/>
              <w:ind w:right="-128" w:rightChars="-61"/>
              <w:jc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rPr>
              <w:t>项目名称</w:t>
            </w:r>
          </w:p>
        </w:tc>
        <w:tc>
          <w:tcPr>
            <w:tcW w:w="4035" w:type="dxa"/>
            <w:vAlign w:val="center"/>
          </w:tcPr>
          <w:p w14:paraId="2CD47440">
            <w:pPr>
              <w:tabs>
                <w:tab w:val="left" w:pos="1900"/>
              </w:tabs>
              <w:snapToGrid w:val="0"/>
              <w:spacing w:line="336" w:lineRule="auto"/>
              <w:ind w:right="-128" w:rightChars="-61"/>
              <w:jc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rPr>
              <w:t>项目特征描述</w:t>
            </w:r>
          </w:p>
        </w:tc>
        <w:tc>
          <w:tcPr>
            <w:tcW w:w="641" w:type="dxa"/>
            <w:vAlign w:val="center"/>
          </w:tcPr>
          <w:p w14:paraId="11FE3381">
            <w:pPr>
              <w:tabs>
                <w:tab w:val="left" w:pos="2100"/>
              </w:tabs>
              <w:snapToGrid w:val="0"/>
              <w:spacing w:line="336" w:lineRule="auto"/>
              <w:ind w:right="-128" w:rightChars="-61"/>
              <w:jc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rPr>
              <w:t>单位</w:t>
            </w:r>
          </w:p>
        </w:tc>
        <w:tc>
          <w:tcPr>
            <w:tcW w:w="1010" w:type="dxa"/>
            <w:vAlign w:val="center"/>
          </w:tcPr>
          <w:p w14:paraId="3E71A433">
            <w:pPr>
              <w:snapToGrid w:val="0"/>
              <w:spacing w:line="336" w:lineRule="auto"/>
              <w:ind w:right="-128" w:rightChars="-61"/>
              <w:jc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数</w:t>
            </w:r>
            <w:r>
              <w:rPr>
                <w:rFonts w:hint="eastAsia" w:ascii="宋体" w:hAnsi="宋体" w:eastAsia="宋体" w:cs="宋体"/>
                <w:b w:val="0"/>
                <w:bCs/>
                <w:color w:val="auto"/>
                <w:sz w:val="24"/>
                <w:szCs w:val="24"/>
                <w:highlight w:val="none"/>
                <w:vertAlign w:val="baseline"/>
              </w:rPr>
              <w:t>量</w:t>
            </w:r>
          </w:p>
        </w:tc>
        <w:tc>
          <w:tcPr>
            <w:tcW w:w="1233" w:type="dxa"/>
            <w:vAlign w:val="center"/>
          </w:tcPr>
          <w:p w14:paraId="14513605">
            <w:pPr>
              <w:snapToGrid w:val="0"/>
              <w:spacing w:line="336" w:lineRule="auto"/>
              <w:ind w:right="-128" w:rightChars="-61"/>
              <w:jc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预算单价（元）</w:t>
            </w:r>
          </w:p>
        </w:tc>
        <w:tc>
          <w:tcPr>
            <w:tcW w:w="1324" w:type="dxa"/>
            <w:vAlign w:val="center"/>
          </w:tcPr>
          <w:p w14:paraId="785C194D">
            <w:pPr>
              <w:snapToGrid w:val="0"/>
              <w:spacing w:line="336" w:lineRule="auto"/>
              <w:ind w:right="-126" w:rightChars="-60"/>
              <w:jc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预算总价（元）</w:t>
            </w:r>
          </w:p>
        </w:tc>
      </w:tr>
      <w:tr w14:paraId="2E50D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272D615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186" w:type="dxa"/>
            <w:vAlign w:val="center"/>
          </w:tcPr>
          <w:p w14:paraId="08C35D7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ascii="宋体" w:hAnsi="宋体" w:eastAsia="宋体" w:cs="宋体"/>
                <w:color w:val="auto"/>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草籽（黑麦草）</w:t>
            </w:r>
          </w:p>
        </w:tc>
        <w:tc>
          <w:tcPr>
            <w:tcW w:w="4035" w:type="dxa"/>
            <w:vAlign w:val="top"/>
          </w:tcPr>
          <w:p w14:paraId="4C54EC47">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kern w:val="2"/>
                <w:sz w:val="24"/>
                <w:szCs w:val="24"/>
                <w:vertAlign w:val="baseline"/>
                <w:lang w:val="en-US" w:eastAsia="zh-CN" w:bidi="ar-SA"/>
              </w:rPr>
              <w:t>1.</w:t>
            </w:r>
            <w:r>
              <w:rPr>
                <w:rFonts w:hint="eastAsia" w:ascii="宋体" w:hAnsi="宋体" w:eastAsia="宋体" w:cs="宋体"/>
                <w:b w:val="0"/>
                <w:bCs/>
                <w:color w:val="auto"/>
                <w:sz w:val="24"/>
                <w:szCs w:val="24"/>
                <w:highlight w:val="none"/>
                <w:vertAlign w:val="baseline"/>
                <w:lang w:val="en-US" w:eastAsia="zh-CN"/>
              </w:rPr>
              <w:t>多年生矮生草坪型；</w:t>
            </w:r>
          </w:p>
          <w:p w14:paraId="544EA0EC">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2.草色深绿； </w:t>
            </w:r>
          </w:p>
          <w:p w14:paraId="20CA15A7">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3.净度≥98%；</w:t>
            </w:r>
          </w:p>
          <w:p w14:paraId="3B184B8F">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4.发芽率≥</w:t>
            </w:r>
            <w:r>
              <w:rPr>
                <w:rFonts w:hint="eastAsia" w:ascii="宋体" w:hAnsi="宋体" w:cs="宋体"/>
                <w:b w:val="0"/>
                <w:bCs/>
                <w:color w:val="auto"/>
                <w:sz w:val="24"/>
                <w:szCs w:val="24"/>
                <w:highlight w:val="none"/>
                <w:vertAlign w:val="baseline"/>
                <w:lang w:val="en-US" w:eastAsia="zh-CN"/>
              </w:rPr>
              <w:t>90</w:t>
            </w:r>
            <w:r>
              <w:rPr>
                <w:rFonts w:hint="eastAsia" w:ascii="宋体" w:hAnsi="宋体" w:eastAsia="宋体" w:cs="宋体"/>
                <w:b w:val="0"/>
                <w:bCs/>
                <w:color w:val="auto"/>
                <w:sz w:val="24"/>
                <w:szCs w:val="24"/>
                <w:highlight w:val="none"/>
                <w:vertAlign w:val="baseline"/>
                <w:lang w:val="en-US" w:eastAsia="zh-CN"/>
              </w:rPr>
              <w:t>%；</w:t>
            </w:r>
          </w:p>
          <w:p w14:paraId="5DD9F016">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b w:val="0"/>
                <w:bCs/>
                <w:color w:val="auto"/>
                <w:sz w:val="24"/>
                <w:szCs w:val="24"/>
                <w:highlight w:val="none"/>
                <w:vertAlign w:val="baseline"/>
                <w:lang w:val="en-US" w:eastAsia="zh-CN"/>
              </w:rPr>
              <w:t>5.</w:t>
            </w:r>
            <w:r>
              <w:rPr>
                <w:rFonts w:ascii="宋体" w:hAnsi="宋体" w:eastAsia="宋体" w:cs="宋体"/>
                <w:sz w:val="24"/>
                <w:szCs w:val="24"/>
              </w:rPr>
              <w:t xml:space="preserve">水分 ≤12.0% </w:t>
            </w:r>
          </w:p>
          <w:p w14:paraId="3CF33D79">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sz w:val="24"/>
                <w:szCs w:val="24"/>
                <w:lang w:val="en-US" w:eastAsia="zh-CN"/>
              </w:rPr>
              <w:t>6.</w:t>
            </w:r>
            <w:r>
              <w:rPr>
                <w:rFonts w:ascii="宋体" w:hAnsi="宋体" w:eastAsia="宋体" w:cs="宋体"/>
                <w:sz w:val="24"/>
                <w:szCs w:val="24"/>
              </w:rPr>
              <w:t>其他植物种子数量≤500粒/kg</w:t>
            </w:r>
          </w:p>
          <w:p w14:paraId="344A35AF">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sz w:val="24"/>
                <w:szCs w:val="24"/>
                <w:lang w:val="en-US" w:eastAsia="zh-CN"/>
              </w:rPr>
              <w:t>7.</w:t>
            </w:r>
            <w:r>
              <w:rPr>
                <w:rFonts w:ascii="宋体" w:hAnsi="宋体" w:eastAsia="宋体" w:cs="宋体"/>
                <w:sz w:val="24"/>
                <w:szCs w:val="24"/>
              </w:rPr>
              <w:t>杂草种子含量 ≤0.3%</w:t>
            </w:r>
            <w:r>
              <w:rPr>
                <w:rFonts w:hint="eastAsia" w:ascii="宋体" w:hAnsi="宋体" w:eastAsia="宋体" w:cs="宋体"/>
                <w:b w:val="0"/>
                <w:bCs/>
                <w:color w:val="auto"/>
                <w:sz w:val="24"/>
                <w:szCs w:val="24"/>
                <w:highlight w:val="none"/>
                <w:vertAlign w:val="baseline"/>
                <w:lang w:val="en-US" w:eastAsia="zh-CN"/>
              </w:rPr>
              <w:t>；</w:t>
            </w:r>
          </w:p>
          <w:p w14:paraId="15CFC8BB">
            <w:pPr>
              <w:keepNext w:val="0"/>
              <w:keepLines w:val="0"/>
              <w:widowControl/>
              <w:suppressLineNumbers w:val="0"/>
              <w:jc w:val="left"/>
              <w:textAlignment w:val="center"/>
              <w:rPr>
                <w:rFonts w:hint="eastAsia" w:ascii="宋体" w:hAnsi="宋体" w:cs="宋体"/>
                <w:b w:val="0"/>
                <w:bCs/>
                <w:color w:val="auto"/>
                <w:sz w:val="24"/>
                <w:szCs w:val="24"/>
                <w:highlight w:val="none"/>
                <w:vertAlign w:val="baseline"/>
                <w:lang w:val="en-US" w:eastAsia="zh-CN"/>
              </w:rPr>
            </w:pPr>
            <w:r>
              <w:rPr>
                <w:rFonts w:hint="eastAsia" w:ascii="宋体" w:hAnsi="宋体" w:cs="宋体"/>
                <w:b w:val="0"/>
                <w:bCs/>
                <w:color w:val="auto"/>
                <w:sz w:val="24"/>
                <w:szCs w:val="24"/>
                <w:highlight w:val="none"/>
                <w:vertAlign w:val="baseline"/>
                <w:lang w:val="en-US" w:eastAsia="zh-CN"/>
              </w:rPr>
              <w:t>8</w:t>
            </w:r>
            <w:r>
              <w:rPr>
                <w:rFonts w:hint="eastAsia" w:ascii="宋体" w:hAnsi="宋体" w:eastAsia="宋体" w:cs="宋体"/>
                <w:b w:val="0"/>
                <w:bCs/>
                <w:color w:val="auto"/>
                <w:sz w:val="24"/>
                <w:szCs w:val="24"/>
                <w:highlight w:val="none"/>
                <w:vertAlign w:val="baseline"/>
                <w:lang w:val="en-US" w:eastAsia="zh-CN"/>
              </w:rPr>
              <w:t>.产地：</w:t>
            </w:r>
            <w:r>
              <w:rPr>
                <w:rFonts w:hint="eastAsia" w:ascii="宋体" w:hAnsi="宋体" w:cs="宋体"/>
                <w:b w:val="0"/>
                <w:bCs/>
                <w:color w:val="auto"/>
                <w:sz w:val="24"/>
                <w:szCs w:val="24"/>
                <w:highlight w:val="none"/>
                <w:vertAlign w:val="baseline"/>
                <w:lang w:val="en-US" w:eastAsia="zh-CN"/>
              </w:rPr>
              <w:t>进口</w:t>
            </w:r>
          </w:p>
          <w:p w14:paraId="07D29FB4">
            <w:pPr>
              <w:keepNext w:val="0"/>
              <w:keepLines w:val="0"/>
              <w:widowControl/>
              <w:suppressLineNumbers w:val="0"/>
              <w:jc w:val="left"/>
              <w:textAlignment w:val="center"/>
              <w:rPr>
                <w:rFonts w:hint="default" w:ascii="宋体" w:hAnsi="宋体" w:cs="宋体"/>
                <w:b w:val="0"/>
                <w:bCs/>
                <w:color w:val="auto"/>
                <w:sz w:val="24"/>
                <w:szCs w:val="24"/>
                <w:highlight w:val="none"/>
                <w:vertAlign w:val="baseline"/>
                <w:lang w:val="en-US" w:eastAsia="zh-CN"/>
              </w:rPr>
            </w:pPr>
            <w:r>
              <w:rPr>
                <w:rFonts w:hint="eastAsia" w:ascii="宋体" w:hAnsi="宋体" w:cs="宋体"/>
                <w:b w:val="0"/>
                <w:bCs/>
                <w:color w:val="auto"/>
                <w:sz w:val="24"/>
                <w:szCs w:val="24"/>
                <w:highlight w:val="none"/>
                <w:vertAlign w:val="baseline"/>
                <w:lang w:val="en-US" w:eastAsia="zh-CN"/>
              </w:rPr>
              <w:t>9.</w:t>
            </w:r>
            <w:r>
              <w:rPr>
                <w:rFonts w:ascii="宋体" w:hAnsi="宋体" w:eastAsia="宋体" w:cs="宋体"/>
                <w:sz w:val="24"/>
                <w:szCs w:val="24"/>
              </w:rPr>
              <w:t>蓝标00级（或同等国际认证品质）</w:t>
            </w:r>
            <w:r>
              <w:rPr>
                <w:rFonts w:hint="eastAsia" w:ascii="宋体" w:hAnsi="宋体" w:eastAsia="宋体" w:cs="宋体"/>
                <w:b w:val="0"/>
                <w:bCs/>
                <w:i w:val="0"/>
                <w:iCs w:val="0"/>
                <w:color w:val="auto"/>
                <w:kern w:val="0"/>
                <w:sz w:val="22"/>
                <w:szCs w:val="22"/>
                <w:u w:val="none"/>
                <w:lang w:val="en-US" w:eastAsia="zh-CN" w:bidi="ar"/>
              </w:rPr>
              <w:t>；</w:t>
            </w:r>
          </w:p>
          <w:p w14:paraId="22BDA069">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注：投标人须提供种子芽率报告、产地证明及检验检疫证明。</w:t>
            </w:r>
          </w:p>
        </w:tc>
        <w:tc>
          <w:tcPr>
            <w:tcW w:w="641" w:type="dxa"/>
            <w:vAlign w:val="center"/>
          </w:tcPr>
          <w:p w14:paraId="3A0A011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kg</w:t>
            </w:r>
          </w:p>
        </w:tc>
        <w:tc>
          <w:tcPr>
            <w:tcW w:w="1010" w:type="dxa"/>
            <w:vAlign w:val="center"/>
          </w:tcPr>
          <w:p w14:paraId="7F796B2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25000 </w:t>
            </w:r>
          </w:p>
        </w:tc>
        <w:tc>
          <w:tcPr>
            <w:tcW w:w="1233" w:type="dxa"/>
            <w:shd w:val="clear" w:color="auto" w:fill="auto"/>
            <w:vAlign w:val="center"/>
          </w:tcPr>
          <w:p w14:paraId="71BCA31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28.80 </w:t>
            </w:r>
          </w:p>
        </w:tc>
        <w:tc>
          <w:tcPr>
            <w:tcW w:w="1324" w:type="dxa"/>
            <w:vAlign w:val="center"/>
          </w:tcPr>
          <w:p w14:paraId="1CD3350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720000</w:t>
            </w:r>
          </w:p>
        </w:tc>
      </w:tr>
      <w:tr w14:paraId="5ABA9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665D727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186" w:type="dxa"/>
            <w:vAlign w:val="center"/>
          </w:tcPr>
          <w:p w14:paraId="6E0DC65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波斯菊</w:t>
            </w:r>
          </w:p>
        </w:tc>
        <w:tc>
          <w:tcPr>
            <w:tcW w:w="4035" w:type="dxa"/>
            <w:vAlign w:val="center"/>
          </w:tcPr>
          <w:p w14:paraId="2E2DC483">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1.株高 60-80cm； </w:t>
            </w:r>
          </w:p>
          <w:p w14:paraId="38DD73B9">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2.净度≥98%；</w:t>
            </w:r>
          </w:p>
          <w:p w14:paraId="6921A860">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3.发芽率≥80%；</w:t>
            </w:r>
          </w:p>
          <w:p w14:paraId="5D4C49B1">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4.质量：≤25kg/袋；</w:t>
            </w:r>
          </w:p>
          <w:p w14:paraId="0E6C901B">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5.花期 60-80天</w:t>
            </w:r>
          </w:p>
        </w:tc>
        <w:tc>
          <w:tcPr>
            <w:tcW w:w="641" w:type="dxa"/>
            <w:vAlign w:val="center"/>
          </w:tcPr>
          <w:p w14:paraId="7E3FA44A">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kg</w:t>
            </w:r>
          </w:p>
        </w:tc>
        <w:tc>
          <w:tcPr>
            <w:tcW w:w="1010" w:type="dxa"/>
            <w:vAlign w:val="center"/>
          </w:tcPr>
          <w:p w14:paraId="459E5F8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310</w:t>
            </w:r>
          </w:p>
        </w:tc>
        <w:tc>
          <w:tcPr>
            <w:tcW w:w="1233" w:type="dxa"/>
            <w:shd w:val="clear" w:color="auto" w:fill="auto"/>
            <w:vAlign w:val="center"/>
          </w:tcPr>
          <w:p w14:paraId="1924135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42.00 </w:t>
            </w:r>
          </w:p>
        </w:tc>
        <w:tc>
          <w:tcPr>
            <w:tcW w:w="1324" w:type="dxa"/>
            <w:vAlign w:val="center"/>
          </w:tcPr>
          <w:p w14:paraId="6E0EDAF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13020</w:t>
            </w:r>
          </w:p>
        </w:tc>
      </w:tr>
      <w:tr w14:paraId="25E8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6E54572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1186" w:type="dxa"/>
            <w:vAlign w:val="center"/>
          </w:tcPr>
          <w:p w14:paraId="096A726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硫华菊</w:t>
            </w:r>
          </w:p>
        </w:tc>
        <w:tc>
          <w:tcPr>
            <w:tcW w:w="4035" w:type="dxa"/>
            <w:vAlign w:val="center"/>
          </w:tcPr>
          <w:p w14:paraId="3153143F">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cs="宋体"/>
                <w:b w:val="0"/>
                <w:bCs/>
                <w:color w:val="auto"/>
                <w:sz w:val="24"/>
                <w:szCs w:val="24"/>
                <w:highlight w:val="none"/>
                <w:vertAlign w:val="baseline"/>
                <w:lang w:val="en-US" w:eastAsia="zh-CN"/>
              </w:rPr>
              <w:t>1</w:t>
            </w:r>
            <w:r>
              <w:rPr>
                <w:rFonts w:hint="eastAsia" w:ascii="宋体" w:hAnsi="宋体" w:eastAsia="宋体" w:cs="宋体"/>
                <w:b w:val="0"/>
                <w:bCs/>
                <w:color w:val="auto"/>
                <w:sz w:val="24"/>
                <w:szCs w:val="24"/>
                <w:highlight w:val="none"/>
                <w:vertAlign w:val="baseline"/>
                <w:lang w:val="en-US" w:eastAsia="zh-CN"/>
              </w:rPr>
              <w:t xml:space="preserve">.株高 60-80cm； </w:t>
            </w:r>
          </w:p>
          <w:p w14:paraId="6108FEC0">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cs="宋体"/>
                <w:b w:val="0"/>
                <w:bCs/>
                <w:color w:val="auto"/>
                <w:sz w:val="24"/>
                <w:szCs w:val="24"/>
                <w:highlight w:val="none"/>
                <w:vertAlign w:val="baseline"/>
                <w:lang w:val="en-US" w:eastAsia="zh-CN"/>
              </w:rPr>
              <w:t>2</w:t>
            </w:r>
            <w:r>
              <w:rPr>
                <w:rFonts w:hint="eastAsia" w:ascii="宋体" w:hAnsi="宋体" w:eastAsia="宋体" w:cs="宋体"/>
                <w:b w:val="0"/>
                <w:bCs/>
                <w:color w:val="auto"/>
                <w:sz w:val="24"/>
                <w:szCs w:val="24"/>
                <w:highlight w:val="none"/>
                <w:vertAlign w:val="baseline"/>
                <w:lang w:val="en-US" w:eastAsia="zh-CN"/>
              </w:rPr>
              <w:t>.净度≥98%；</w:t>
            </w:r>
          </w:p>
          <w:p w14:paraId="60D343F7">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cs="宋体"/>
                <w:b w:val="0"/>
                <w:bCs/>
                <w:color w:val="auto"/>
                <w:sz w:val="24"/>
                <w:szCs w:val="24"/>
                <w:highlight w:val="none"/>
                <w:vertAlign w:val="baseline"/>
                <w:lang w:val="en-US" w:eastAsia="zh-CN"/>
              </w:rPr>
              <w:t>3</w:t>
            </w:r>
            <w:r>
              <w:rPr>
                <w:rFonts w:hint="eastAsia" w:ascii="宋体" w:hAnsi="宋体" w:eastAsia="宋体" w:cs="宋体"/>
                <w:b w:val="0"/>
                <w:bCs/>
                <w:color w:val="auto"/>
                <w:sz w:val="24"/>
                <w:szCs w:val="24"/>
                <w:highlight w:val="none"/>
                <w:vertAlign w:val="baseline"/>
                <w:lang w:val="en-US" w:eastAsia="zh-CN"/>
              </w:rPr>
              <w:t>.发芽率≥80%；</w:t>
            </w:r>
          </w:p>
          <w:p w14:paraId="697340A6">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cs="宋体"/>
                <w:b w:val="0"/>
                <w:bCs/>
                <w:color w:val="auto"/>
                <w:sz w:val="24"/>
                <w:szCs w:val="24"/>
                <w:highlight w:val="none"/>
                <w:vertAlign w:val="baseline"/>
                <w:lang w:val="en-US" w:eastAsia="zh-CN"/>
              </w:rPr>
              <w:t>4</w:t>
            </w:r>
            <w:r>
              <w:rPr>
                <w:rFonts w:hint="eastAsia" w:ascii="宋体" w:hAnsi="宋体" w:eastAsia="宋体" w:cs="宋体"/>
                <w:b w:val="0"/>
                <w:bCs/>
                <w:color w:val="auto"/>
                <w:sz w:val="24"/>
                <w:szCs w:val="24"/>
                <w:highlight w:val="none"/>
                <w:vertAlign w:val="baseline"/>
                <w:lang w:val="en-US" w:eastAsia="zh-CN"/>
              </w:rPr>
              <w:t>.质量：≤25kg/袋；</w:t>
            </w:r>
          </w:p>
          <w:p w14:paraId="5B808773">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cs="宋体"/>
                <w:b w:val="0"/>
                <w:bCs/>
                <w:color w:val="auto"/>
                <w:sz w:val="24"/>
                <w:szCs w:val="24"/>
                <w:highlight w:val="none"/>
                <w:vertAlign w:val="baseline"/>
                <w:lang w:val="en-US" w:eastAsia="zh-CN"/>
              </w:rPr>
              <w:t>5</w:t>
            </w:r>
            <w:r>
              <w:rPr>
                <w:rFonts w:hint="eastAsia" w:ascii="宋体" w:hAnsi="宋体" w:eastAsia="宋体" w:cs="宋体"/>
                <w:b w:val="0"/>
                <w:bCs/>
                <w:color w:val="auto"/>
                <w:sz w:val="24"/>
                <w:szCs w:val="24"/>
                <w:highlight w:val="none"/>
                <w:vertAlign w:val="baseline"/>
                <w:lang w:val="en-US" w:eastAsia="zh-CN"/>
              </w:rPr>
              <w:t>.花期 60-80天。</w:t>
            </w:r>
          </w:p>
        </w:tc>
        <w:tc>
          <w:tcPr>
            <w:tcW w:w="641" w:type="dxa"/>
            <w:vAlign w:val="center"/>
          </w:tcPr>
          <w:p w14:paraId="0C42ADA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kg</w:t>
            </w:r>
          </w:p>
        </w:tc>
        <w:tc>
          <w:tcPr>
            <w:tcW w:w="1010" w:type="dxa"/>
            <w:vAlign w:val="center"/>
          </w:tcPr>
          <w:p w14:paraId="39EAED1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60</w:t>
            </w:r>
            <w:r>
              <w:rPr>
                <w:rFonts w:hint="eastAsia" w:ascii="宋体" w:hAnsi="宋体" w:eastAsia="宋体" w:cs="宋体"/>
                <w:i w:val="0"/>
                <w:iCs w:val="0"/>
                <w:color w:val="auto"/>
                <w:kern w:val="0"/>
                <w:sz w:val="24"/>
                <w:szCs w:val="24"/>
                <w:highlight w:val="none"/>
                <w:u w:val="none"/>
                <w:lang w:val="en-US" w:eastAsia="zh-CN" w:bidi="ar"/>
              </w:rPr>
              <w:t xml:space="preserve"> </w:t>
            </w:r>
          </w:p>
        </w:tc>
        <w:tc>
          <w:tcPr>
            <w:tcW w:w="1233" w:type="dxa"/>
            <w:shd w:val="clear" w:color="auto" w:fill="auto"/>
            <w:vAlign w:val="center"/>
          </w:tcPr>
          <w:p w14:paraId="42D37F9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45.00 </w:t>
            </w:r>
          </w:p>
        </w:tc>
        <w:tc>
          <w:tcPr>
            <w:tcW w:w="1324" w:type="dxa"/>
            <w:vAlign w:val="center"/>
          </w:tcPr>
          <w:p w14:paraId="5FB0FBD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2700</w:t>
            </w:r>
          </w:p>
        </w:tc>
      </w:tr>
      <w:tr w14:paraId="3EC2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111782F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1186" w:type="dxa"/>
            <w:vAlign w:val="center"/>
          </w:tcPr>
          <w:p w14:paraId="51EB751D">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向日葵</w:t>
            </w:r>
          </w:p>
        </w:tc>
        <w:tc>
          <w:tcPr>
            <w:tcW w:w="4035" w:type="dxa"/>
            <w:vAlign w:val="center"/>
          </w:tcPr>
          <w:p w14:paraId="149159E6">
            <w:pPr>
              <w:keepNext w:val="0"/>
              <w:keepLines w:val="0"/>
              <w:widowControl/>
              <w:numPr>
                <w:ilvl w:val="0"/>
                <w:numId w:val="1"/>
              </w:numPr>
              <w:suppressLineNumbers w:val="0"/>
              <w:jc w:val="both"/>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大花油葵；</w:t>
            </w:r>
          </w:p>
          <w:p w14:paraId="429B6169">
            <w:pPr>
              <w:keepNext w:val="0"/>
              <w:keepLines w:val="0"/>
              <w:widowControl/>
              <w:numPr>
                <w:ilvl w:val="0"/>
                <w:numId w:val="1"/>
              </w:numPr>
              <w:suppressLineNumbers w:val="0"/>
              <w:ind w:left="0" w:leftChars="0" w:firstLine="0" w:firstLineChars="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株高 1</w:t>
            </w:r>
            <w:r>
              <w:rPr>
                <w:rFonts w:hint="default" w:ascii="宋体" w:hAnsi="宋体" w:cs="宋体"/>
                <w:b w:val="0"/>
                <w:bCs/>
                <w:color w:val="auto"/>
                <w:sz w:val="24"/>
                <w:szCs w:val="24"/>
                <w:highlight w:val="none"/>
                <w:vertAlign w:val="baseline"/>
                <w:lang w:eastAsia="zh-CN"/>
              </w:rPr>
              <w:t>0</w:t>
            </w:r>
            <w:r>
              <w:rPr>
                <w:rFonts w:hint="eastAsia" w:ascii="宋体" w:hAnsi="宋体" w:eastAsia="宋体" w:cs="宋体"/>
                <w:b w:val="0"/>
                <w:bCs/>
                <w:color w:val="auto"/>
                <w:sz w:val="24"/>
                <w:szCs w:val="24"/>
                <w:highlight w:val="none"/>
                <w:vertAlign w:val="baseline"/>
                <w:lang w:val="en-US" w:eastAsia="zh-CN"/>
              </w:rPr>
              <w:t>0-15</w:t>
            </w:r>
            <w:r>
              <w:rPr>
                <w:rFonts w:hint="default" w:ascii="宋体" w:hAnsi="宋体" w:cs="宋体"/>
                <w:b w:val="0"/>
                <w:bCs/>
                <w:color w:val="auto"/>
                <w:sz w:val="24"/>
                <w:szCs w:val="24"/>
                <w:highlight w:val="none"/>
                <w:vertAlign w:val="baseline"/>
                <w:lang w:eastAsia="zh-CN"/>
              </w:rPr>
              <w:t>0</w:t>
            </w:r>
            <w:r>
              <w:rPr>
                <w:rFonts w:hint="eastAsia" w:ascii="宋体" w:hAnsi="宋体" w:eastAsia="宋体" w:cs="宋体"/>
                <w:b w:val="0"/>
                <w:bCs/>
                <w:color w:val="auto"/>
                <w:sz w:val="24"/>
                <w:szCs w:val="24"/>
                <w:highlight w:val="none"/>
                <w:vertAlign w:val="baseline"/>
                <w:lang w:val="en-US" w:eastAsia="zh-CN"/>
              </w:rPr>
              <w:t>公分；</w:t>
            </w:r>
          </w:p>
          <w:p w14:paraId="0A8DB09D">
            <w:pPr>
              <w:keepNext w:val="0"/>
              <w:keepLines w:val="0"/>
              <w:widowControl/>
              <w:numPr>
                <w:ilvl w:val="0"/>
                <w:numId w:val="1"/>
              </w:numPr>
              <w:suppressLineNumbers w:val="0"/>
              <w:ind w:left="0" w:leftChars="0" w:firstLine="0" w:firstLineChars="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净度≥98%；</w:t>
            </w:r>
          </w:p>
          <w:p w14:paraId="114A317B">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发芽率≥80%；</w:t>
            </w:r>
          </w:p>
          <w:p w14:paraId="1A58DB38">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b w:val="0"/>
                <w:bCs/>
                <w:color w:val="auto"/>
                <w:sz w:val="24"/>
                <w:szCs w:val="24"/>
                <w:highlight w:val="none"/>
                <w:vertAlign w:val="baseline"/>
                <w:lang w:val="en-US" w:eastAsia="zh-CN"/>
              </w:rPr>
            </w:pPr>
            <w:r>
              <w:rPr>
                <w:rFonts w:hint="default" w:ascii="宋体" w:hAnsi="宋体" w:cs="宋体"/>
                <w:b w:val="0"/>
                <w:bCs/>
                <w:color w:val="auto"/>
                <w:sz w:val="24"/>
                <w:szCs w:val="24"/>
                <w:highlight w:val="none"/>
                <w:vertAlign w:val="baseline"/>
                <w:lang w:eastAsia="zh-CN"/>
              </w:rPr>
              <w:t>质</w:t>
            </w:r>
            <w:r>
              <w:rPr>
                <w:rFonts w:hint="eastAsia" w:ascii="宋体" w:hAnsi="宋体" w:eastAsia="宋体" w:cs="宋体"/>
                <w:b w:val="0"/>
                <w:bCs/>
                <w:color w:val="auto"/>
                <w:sz w:val="24"/>
                <w:szCs w:val="24"/>
                <w:highlight w:val="none"/>
                <w:vertAlign w:val="baseline"/>
                <w:lang w:val="en-US" w:eastAsia="zh-CN"/>
              </w:rPr>
              <w:t>量：≤25kg/袋；</w:t>
            </w:r>
          </w:p>
          <w:p w14:paraId="79154C83">
            <w:pPr>
              <w:keepNext w:val="0"/>
              <w:keepLines w:val="0"/>
              <w:widowControl/>
              <w:numPr>
                <w:ilvl w:val="0"/>
                <w:numId w:val="1"/>
              </w:numPr>
              <w:suppressLineNumbers w:val="0"/>
              <w:ind w:left="0" w:leftChars="0" w:firstLine="0" w:firstLineChars="0"/>
              <w:jc w:val="both"/>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花期：</w:t>
            </w:r>
            <w:r>
              <w:rPr>
                <w:rFonts w:hint="default" w:ascii="宋体" w:hAnsi="宋体" w:cs="宋体"/>
                <w:b w:val="0"/>
                <w:bCs/>
                <w:color w:val="auto"/>
                <w:sz w:val="24"/>
                <w:szCs w:val="24"/>
                <w:highlight w:val="none"/>
                <w:vertAlign w:val="baseline"/>
                <w:lang w:eastAsia="zh-CN"/>
              </w:rPr>
              <w:t>20</w:t>
            </w:r>
            <w:r>
              <w:rPr>
                <w:rFonts w:hint="eastAsia" w:ascii="宋体" w:hAnsi="宋体" w:eastAsia="宋体" w:cs="宋体"/>
                <w:b w:val="0"/>
                <w:bCs/>
                <w:color w:val="auto"/>
                <w:sz w:val="24"/>
                <w:szCs w:val="24"/>
                <w:highlight w:val="none"/>
                <w:vertAlign w:val="baseline"/>
                <w:lang w:val="en-US" w:eastAsia="zh-CN"/>
              </w:rPr>
              <w:t>-</w:t>
            </w:r>
            <w:r>
              <w:rPr>
                <w:rFonts w:hint="default" w:ascii="宋体" w:hAnsi="宋体" w:cs="宋体"/>
                <w:b w:val="0"/>
                <w:bCs/>
                <w:color w:val="auto"/>
                <w:sz w:val="24"/>
                <w:szCs w:val="24"/>
                <w:highlight w:val="none"/>
                <w:vertAlign w:val="baseline"/>
                <w:lang w:eastAsia="zh-CN"/>
              </w:rPr>
              <w:t>30</w:t>
            </w:r>
            <w:r>
              <w:rPr>
                <w:rFonts w:hint="eastAsia" w:ascii="宋体" w:hAnsi="宋体" w:eastAsia="宋体" w:cs="宋体"/>
                <w:b w:val="0"/>
                <w:bCs/>
                <w:color w:val="auto"/>
                <w:sz w:val="24"/>
                <w:szCs w:val="24"/>
                <w:highlight w:val="none"/>
                <w:vertAlign w:val="baseline"/>
                <w:lang w:val="en-US" w:eastAsia="zh-CN"/>
              </w:rPr>
              <w:t xml:space="preserve"> 天；</w:t>
            </w:r>
          </w:p>
          <w:p w14:paraId="5C71A8D3">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default" w:ascii="宋体" w:hAnsi="宋体" w:cs="宋体"/>
                <w:b w:val="0"/>
                <w:bCs/>
                <w:color w:val="auto"/>
                <w:sz w:val="24"/>
                <w:szCs w:val="24"/>
                <w:highlight w:val="none"/>
                <w:vertAlign w:val="baseline"/>
                <w:lang w:eastAsia="zh-CN"/>
              </w:rPr>
              <w:t>7.</w:t>
            </w:r>
            <w:r>
              <w:rPr>
                <w:rFonts w:hint="eastAsia" w:ascii="宋体" w:hAnsi="宋体" w:eastAsia="宋体" w:cs="宋体"/>
                <w:b w:val="0"/>
                <w:bCs/>
                <w:color w:val="auto"/>
                <w:sz w:val="24"/>
                <w:szCs w:val="24"/>
                <w:highlight w:val="none"/>
                <w:vertAlign w:val="baseline"/>
                <w:lang w:val="en-US" w:eastAsia="zh-CN"/>
              </w:rPr>
              <w:t>无病虫害。</w:t>
            </w:r>
          </w:p>
        </w:tc>
        <w:tc>
          <w:tcPr>
            <w:tcW w:w="641" w:type="dxa"/>
            <w:vAlign w:val="center"/>
          </w:tcPr>
          <w:p w14:paraId="7723CF73">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Kg</w:t>
            </w:r>
          </w:p>
        </w:tc>
        <w:tc>
          <w:tcPr>
            <w:tcW w:w="1010" w:type="dxa"/>
            <w:vAlign w:val="center"/>
          </w:tcPr>
          <w:p w14:paraId="16A97EF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40</w:t>
            </w:r>
          </w:p>
        </w:tc>
        <w:tc>
          <w:tcPr>
            <w:tcW w:w="1233" w:type="dxa"/>
            <w:shd w:val="clear" w:color="auto" w:fill="auto"/>
            <w:vAlign w:val="center"/>
          </w:tcPr>
          <w:p w14:paraId="552424F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26.00 </w:t>
            </w:r>
          </w:p>
        </w:tc>
        <w:tc>
          <w:tcPr>
            <w:tcW w:w="1324" w:type="dxa"/>
            <w:vAlign w:val="center"/>
          </w:tcPr>
          <w:p w14:paraId="55B59D4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1040</w:t>
            </w:r>
          </w:p>
        </w:tc>
      </w:tr>
      <w:tr w14:paraId="5245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2C27BA50">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5</w:t>
            </w:r>
          </w:p>
        </w:tc>
        <w:tc>
          <w:tcPr>
            <w:tcW w:w="1186" w:type="dxa"/>
            <w:vAlign w:val="center"/>
          </w:tcPr>
          <w:p w14:paraId="67D1094B">
            <w:pPr>
              <w:keepNext w:val="0"/>
              <w:keepLines w:val="0"/>
              <w:widowControl/>
              <w:suppressLineNumbers w:val="0"/>
              <w:jc w:val="both"/>
              <w:textAlignment w:val="center"/>
              <w:rPr>
                <w:rFonts w:hint="default" w:ascii="宋体" w:hAnsi="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彩色油菜</w:t>
            </w:r>
          </w:p>
        </w:tc>
        <w:tc>
          <w:tcPr>
            <w:tcW w:w="4035" w:type="dxa"/>
            <w:vAlign w:val="center"/>
          </w:tcPr>
          <w:p w14:paraId="2968E5BA">
            <w:pPr>
              <w:keepNext w:val="0"/>
              <w:keepLines w:val="0"/>
              <w:widowControl/>
              <w:numPr>
                <w:ilvl w:val="0"/>
                <w:numId w:val="2"/>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颜色：黄色；</w:t>
            </w:r>
          </w:p>
          <w:p w14:paraId="3F8417E9">
            <w:pPr>
              <w:keepNext w:val="0"/>
              <w:keepLines w:val="0"/>
              <w:widowControl/>
              <w:numPr>
                <w:ilvl w:val="0"/>
                <w:numId w:val="2"/>
              </w:numPr>
              <w:suppressLineNumbers w:val="0"/>
              <w:ind w:left="0" w:leftChars="0" w:firstLine="0" w:firstLineChars="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净度≥98%；</w:t>
            </w:r>
          </w:p>
          <w:p w14:paraId="63DDAE1E">
            <w:pPr>
              <w:keepNext w:val="0"/>
              <w:keepLines w:val="0"/>
              <w:widowControl/>
              <w:numPr>
                <w:ilvl w:val="0"/>
                <w:numId w:val="2"/>
              </w:numPr>
              <w:suppressLineNumbers w:val="0"/>
              <w:ind w:left="0" w:leftChars="0" w:firstLine="0" w:firstLineChars="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发芽率≥90%；</w:t>
            </w:r>
          </w:p>
          <w:p w14:paraId="4DB39981">
            <w:pPr>
              <w:keepNext w:val="0"/>
              <w:keepLines w:val="0"/>
              <w:widowControl/>
              <w:numPr>
                <w:ilvl w:val="0"/>
                <w:numId w:val="0"/>
              </w:numPr>
              <w:suppressLineNumbers w:val="0"/>
              <w:ind w:leftChars="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4.质量：≤25kg/袋； </w:t>
            </w:r>
          </w:p>
          <w:p w14:paraId="0898704D">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5.花期 20-30 天。</w:t>
            </w:r>
          </w:p>
        </w:tc>
        <w:tc>
          <w:tcPr>
            <w:tcW w:w="641" w:type="dxa"/>
            <w:vAlign w:val="center"/>
          </w:tcPr>
          <w:p w14:paraId="00BFDC06">
            <w:pPr>
              <w:keepNext w:val="0"/>
              <w:keepLines w:val="0"/>
              <w:widowControl/>
              <w:suppressLineNumbers w:val="0"/>
              <w:jc w:val="center"/>
              <w:textAlignment w:val="center"/>
              <w:rPr>
                <w:rFonts w:hint="eastAsia" w:ascii="宋体" w:hAnsi="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kg</w:t>
            </w:r>
          </w:p>
        </w:tc>
        <w:tc>
          <w:tcPr>
            <w:tcW w:w="1010" w:type="dxa"/>
            <w:vAlign w:val="center"/>
          </w:tcPr>
          <w:p w14:paraId="7FB76555">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186</w:t>
            </w:r>
          </w:p>
        </w:tc>
        <w:tc>
          <w:tcPr>
            <w:tcW w:w="1233" w:type="dxa"/>
            <w:vAlign w:val="center"/>
          </w:tcPr>
          <w:p w14:paraId="52F0895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13.27 </w:t>
            </w:r>
          </w:p>
        </w:tc>
        <w:tc>
          <w:tcPr>
            <w:tcW w:w="1324" w:type="dxa"/>
            <w:vAlign w:val="center"/>
          </w:tcPr>
          <w:p w14:paraId="1D2BDEF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2468.22</w:t>
            </w:r>
          </w:p>
        </w:tc>
      </w:tr>
      <w:tr w14:paraId="126A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7144D4D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6</w:t>
            </w:r>
          </w:p>
        </w:tc>
        <w:tc>
          <w:tcPr>
            <w:tcW w:w="1186" w:type="dxa"/>
            <w:vAlign w:val="center"/>
          </w:tcPr>
          <w:p w14:paraId="43CEFEC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土工布（防尘网)</w:t>
            </w:r>
          </w:p>
        </w:tc>
        <w:tc>
          <w:tcPr>
            <w:tcW w:w="4035" w:type="dxa"/>
            <w:vAlign w:val="center"/>
          </w:tcPr>
          <w:p w14:paraId="5D2D53CB">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kern w:val="2"/>
                <w:sz w:val="24"/>
                <w:szCs w:val="24"/>
                <w:vertAlign w:val="baseline"/>
                <w:lang w:val="en-US" w:eastAsia="zh-CN" w:bidi="ar-SA"/>
              </w:rPr>
              <w:t>1.</w:t>
            </w:r>
            <w:r>
              <w:rPr>
                <w:rFonts w:hint="eastAsia" w:ascii="宋体" w:hAnsi="宋体" w:eastAsia="宋体" w:cs="宋体"/>
                <w:b w:val="0"/>
                <w:bCs/>
                <w:color w:val="auto"/>
                <w:sz w:val="24"/>
                <w:szCs w:val="24"/>
                <w:highlight w:val="none"/>
                <w:vertAlign w:val="baseline"/>
                <w:lang w:val="en-US" w:eastAsia="zh-CN"/>
              </w:rPr>
              <w:t>颜色：绿色抗老化；</w:t>
            </w:r>
          </w:p>
          <w:p w14:paraId="084CC0F0">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kern w:val="2"/>
                <w:sz w:val="24"/>
                <w:szCs w:val="24"/>
                <w:vertAlign w:val="baseline"/>
                <w:lang w:val="en-US" w:eastAsia="zh-CN" w:bidi="ar-SA"/>
              </w:rPr>
              <w:t>2.</w:t>
            </w:r>
            <w:r>
              <w:rPr>
                <w:rFonts w:hint="eastAsia" w:ascii="宋体" w:hAnsi="宋体" w:eastAsia="宋体" w:cs="宋体"/>
                <w:b w:val="0"/>
                <w:bCs/>
                <w:color w:val="auto"/>
                <w:sz w:val="24"/>
                <w:szCs w:val="24"/>
                <w:highlight w:val="none"/>
                <w:vertAlign w:val="baseline"/>
                <w:lang w:val="en-US" w:eastAsia="zh-CN"/>
              </w:rPr>
              <w:t>每平方米克重：≥30；</w:t>
            </w:r>
          </w:p>
          <w:p w14:paraId="5DE8902A">
            <w:pPr>
              <w:keepNext w:val="0"/>
              <w:keepLines w:val="0"/>
              <w:widowControl/>
              <w:numPr>
                <w:ilvl w:val="0"/>
                <w:numId w:val="0"/>
              </w:numPr>
              <w:suppressLineNumbers w:val="0"/>
              <w:ind w:leftChars="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3.尺寸：宽≥3.2 米，长≥540 米；</w:t>
            </w:r>
          </w:p>
          <w:p w14:paraId="44165C17">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color w:val="auto"/>
                <w:kern w:val="0"/>
                <w:sz w:val="24"/>
                <w:szCs w:val="24"/>
                <w:highlight w:val="none"/>
                <w:lang w:val="en-US" w:eastAsia="zh-CN" w:bidi="ar"/>
              </w:rPr>
              <w:t>4.重量：≥30公斤/卷</w:t>
            </w:r>
          </w:p>
        </w:tc>
        <w:tc>
          <w:tcPr>
            <w:tcW w:w="641" w:type="dxa"/>
            <w:vAlign w:val="center"/>
          </w:tcPr>
          <w:p w14:paraId="055BA8D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卷</w:t>
            </w:r>
          </w:p>
        </w:tc>
        <w:tc>
          <w:tcPr>
            <w:tcW w:w="1010" w:type="dxa"/>
            <w:vAlign w:val="center"/>
          </w:tcPr>
          <w:p w14:paraId="24A60BB9">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44</w:t>
            </w:r>
          </w:p>
        </w:tc>
        <w:tc>
          <w:tcPr>
            <w:tcW w:w="1233" w:type="dxa"/>
            <w:vAlign w:val="center"/>
          </w:tcPr>
          <w:p w14:paraId="7884FFC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238.00 </w:t>
            </w:r>
          </w:p>
        </w:tc>
        <w:tc>
          <w:tcPr>
            <w:tcW w:w="1324" w:type="dxa"/>
            <w:vAlign w:val="center"/>
          </w:tcPr>
          <w:p w14:paraId="103F176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10472</w:t>
            </w:r>
          </w:p>
        </w:tc>
      </w:tr>
      <w:tr w14:paraId="74F3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4FDB424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7</w:t>
            </w:r>
          </w:p>
        </w:tc>
        <w:tc>
          <w:tcPr>
            <w:tcW w:w="1186" w:type="dxa"/>
            <w:vAlign w:val="center"/>
          </w:tcPr>
          <w:p w14:paraId="7FCD048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草坪杂草封闭药</w:t>
            </w:r>
          </w:p>
        </w:tc>
        <w:tc>
          <w:tcPr>
            <w:tcW w:w="4035" w:type="dxa"/>
            <w:vAlign w:val="center"/>
          </w:tcPr>
          <w:p w14:paraId="56531D81">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p>
          <w:p w14:paraId="4C2EDB44">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1.氨氟乐灵成分含量：65%； </w:t>
            </w:r>
          </w:p>
          <w:p w14:paraId="419E62F5">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2.pH 值范围：7.0～11.0； </w:t>
            </w:r>
          </w:p>
          <w:p w14:paraId="2FE1DBC8">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3.润湿时间：≤3s； </w:t>
            </w:r>
          </w:p>
          <w:p w14:paraId="33B29C3F">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4.湿筛试验(通过 75μm 试验筛)：≥98%； </w:t>
            </w:r>
          </w:p>
          <w:p w14:paraId="10200515">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5.悬浮率：≥90%； </w:t>
            </w:r>
          </w:p>
          <w:p w14:paraId="407E53FE">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6.持久起泡性(3min 后)：≤35mL； </w:t>
            </w:r>
          </w:p>
          <w:p w14:paraId="3C1791EA">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7.剂型：水分散粒剂； </w:t>
            </w:r>
          </w:p>
          <w:p w14:paraId="5607AA8B">
            <w:pPr>
              <w:keepNext w:val="0"/>
              <w:keepLines w:val="0"/>
              <w:widowControl/>
              <w:suppressLineNumbers w:val="0"/>
              <w:jc w:val="left"/>
              <w:textAlignment w:val="center"/>
              <w:rPr>
                <w:rFonts w:hint="eastAsia" w:ascii="宋体" w:hAnsi="宋体" w:eastAsia="宋体" w:cs="宋体"/>
                <w:b w:val="0"/>
                <w:bCs/>
                <w:color w:val="auto"/>
                <w:sz w:val="24"/>
                <w:szCs w:val="24"/>
                <w:highlight w:val="none"/>
                <w:vertAlign w:val="baseline"/>
              </w:rPr>
            </w:pPr>
            <w:r>
              <w:rPr>
                <w:rFonts w:hint="eastAsia" w:ascii="宋体" w:hAnsi="宋体" w:eastAsia="宋体" w:cs="宋体"/>
                <w:b w:val="0"/>
                <w:bCs/>
                <w:color w:val="auto"/>
                <w:sz w:val="24"/>
                <w:szCs w:val="24"/>
                <w:highlight w:val="none"/>
                <w:vertAlign w:val="baseline"/>
                <w:lang w:val="en-US" w:eastAsia="zh-CN"/>
              </w:rPr>
              <w:t xml:space="preserve">8.质量：≥20g/袋； </w:t>
            </w:r>
          </w:p>
          <w:p w14:paraId="6631E490">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9.产品性能：本品为二硝基苯胺类芽前封闭除草剂，通过抑制新萌芽的杂草种子的生长发育来控制敏感杂草</w:t>
            </w:r>
            <w:r>
              <w:rPr>
                <w:rFonts w:hint="eastAsia" w:ascii="宋体" w:hAnsi="宋体" w:cs="宋体"/>
                <w:b w:val="0"/>
                <w:bCs/>
                <w:color w:val="auto"/>
                <w:sz w:val="24"/>
                <w:szCs w:val="24"/>
                <w:highlight w:val="none"/>
                <w:vertAlign w:val="baseline"/>
                <w:lang w:val="en-US" w:eastAsia="zh-CN"/>
              </w:rPr>
              <w:t>。</w:t>
            </w:r>
          </w:p>
        </w:tc>
        <w:tc>
          <w:tcPr>
            <w:tcW w:w="641" w:type="dxa"/>
            <w:vAlign w:val="center"/>
          </w:tcPr>
          <w:p w14:paraId="6359E57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袋</w:t>
            </w:r>
          </w:p>
        </w:tc>
        <w:tc>
          <w:tcPr>
            <w:tcW w:w="1010" w:type="dxa"/>
            <w:vAlign w:val="center"/>
          </w:tcPr>
          <w:p w14:paraId="5E8E44C6">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333</w:t>
            </w:r>
            <w:r>
              <w:rPr>
                <w:rFonts w:hint="eastAsia" w:ascii="宋体" w:hAnsi="宋体" w:eastAsia="宋体" w:cs="宋体"/>
                <w:i w:val="0"/>
                <w:iCs w:val="0"/>
                <w:color w:val="auto"/>
                <w:kern w:val="0"/>
                <w:sz w:val="24"/>
                <w:szCs w:val="24"/>
                <w:highlight w:val="none"/>
                <w:u w:val="none"/>
                <w:lang w:val="en-US" w:eastAsia="zh-CN" w:bidi="ar"/>
              </w:rPr>
              <w:t xml:space="preserve"> </w:t>
            </w:r>
          </w:p>
        </w:tc>
        <w:tc>
          <w:tcPr>
            <w:tcW w:w="1233" w:type="dxa"/>
            <w:vAlign w:val="center"/>
          </w:tcPr>
          <w:p w14:paraId="18027AF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23.75 </w:t>
            </w:r>
          </w:p>
        </w:tc>
        <w:tc>
          <w:tcPr>
            <w:tcW w:w="1324" w:type="dxa"/>
            <w:vAlign w:val="center"/>
          </w:tcPr>
          <w:p w14:paraId="6F080E7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7908.75</w:t>
            </w:r>
          </w:p>
        </w:tc>
      </w:tr>
      <w:tr w14:paraId="53E3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4DA303C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8</w:t>
            </w:r>
          </w:p>
        </w:tc>
        <w:tc>
          <w:tcPr>
            <w:tcW w:w="1186" w:type="dxa"/>
            <w:vAlign w:val="center"/>
          </w:tcPr>
          <w:p w14:paraId="02FB543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ascii="宋体" w:hAnsi="宋体" w:eastAsia="宋体" w:cs="宋体"/>
                <w:color w:val="auto"/>
                <w:sz w:val="24"/>
                <w:szCs w:val="24"/>
                <w:highlight w:val="none"/>
              </w:rPr>
              <w:t>▲</w:t>
            </w:r>
            <w:r>
              <w:rPr>
                <w:rFonts w:hint="eastAsia" w:ascii="宋体" w:hAnsi="宋体" w:eastAsia="宋体" w:cs="宋体"/>
                <w:i w:val="0"/>
                <w:iCs w:val="0"/>
                <w:color w:val="auto"/>
                <w:kern w:val="0"/>
                <w:sz w:val="24"/>
                <w:szCs w:val="24"/>
                <w:highlight w:val="none"/>
                <w:u w:val="none"/>
                <w:lang w:val="en-US" w:eastAsia="zh-CN" w:bidi="ar"/>
              </w:rPr>
              <w:t>复合肥料</w:t>
            </w:r>
          </w:p>
        </w:tc>
        <w:tc>
          <w:tcPr>
            <w:tcW w:w="4035" w:type="dxa"/>
            <w:vAlign w:val="center"/>
          </w:tcPr>
          <w:p w14:paraId="315EFC08">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p>
          <w:p w14:paraId="10452F45">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1.符合 GB/T15063-2020 国标，总养分 N+P₂O₅ +K₂O：≥40%； </w:t>
            </w:r>
          </w:p>
          <w:p w14:paraId="6CAF0EFF">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2.总氮含量：≥28%； </w:t>
            </w:r>
          </w:p>
          <w:p w14:paraId="678E970F">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3.磷含量：≥5%； </w:t>
            </w:r>
          </w:p>
          <w:p w14:paraId="24C31E05">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4.钾含量：≥7%； </w:t>
            </w:r>
          </w:p>
          <w:p w14:paraId="49ECAD2F">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5.水分：≤1.3%； </w:t>
            </w:r>
          </w:p>
          <w:p w14:paraId="3BD70D27">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6.粒度（1.00mm-4.75mm）100%； </w:t>
            </w:r>
          </w:p>
          <w:p w14:paraId="687C1160">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7.添加微量元素≥0.08% 其中: 硼≥0.02% 锌≥0.02% 锰≥0.02% 铁≥0.02% </w:t>
            </w:r>
          </w:p>
          <w:p w14:paraId="01A03EF7">
            <w:pPr>
              <w:keepNext w:val="0"/>
              <w:keepLines w:val="0"/>
              <w:widowControl/>
              <w:numPr>
                <w:ilvl w:val="0"/>
                <w:numId w:val="0"/>
              </w:numPr>
              <w:suppressLineNumbers w:val="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8.规格：40kg/袋。</w:t>
            </w:r>
          </w:p>
          <w:p w14:paraId="641B10BA">
            <w:pPr>
              <w:keepNext w:val="0"/>
              <w:keepLines w:val="0"/>
              <w:widowControl/>
              <w:numPr>
                <w:ilvl w:val="0"/>
                <w:numId w:val="0"/>
              </w:numPr>
              <w:suppressLineNumbers w:val="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val="0"/>
                <w:bCs/>
                <w:color w:val="auto"/>
                <w:sz w:val="24"/>
                <w:szCs w:val="24"/>
                <w:highlight w:val="none"/>
                <w:vertAlign w:val="baseline"/>
                <w:lang w:val="en-US" w:eastAsia="zh-CN"/>
              </w:rPr>
              <w:t>注：以上1-8项参数开标时须提供第三方检测机构出具的检测报告复印件加盖投标人公章佐证。（未提供或提供不符做无效投标处理）</w:t>
            </w:r>
          </w:p>
        </w:tc>
        <w:tc>
          <w:tcPr>
            <w:tcW w:w="641" w:type="dxa"/>
            <w:vAlign w:val="center"/>
          </w:tcPr>
          <w:p w14:paraId="162C942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吨</w:t>
            </w:r>
          </w:p>
        </w:tc>
        <w:tc>
          <w:tcPr>
            <w:tcW w:w="1010" w:type="dxa"/>
            <w:vAlign w:val="center"/>
          </w:tcPr>
          <w:p w14:paraId="4EE906C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 xml:space="preserve">00 </w:t>
            </w:r>
          </w:p>
        </w:tc>
        <w:tc>
          <w:tcPr>
            <w:tcW w:w="1233" w:type="dxa"/>
            <w:vAlign w:val="center"/>
          </w:tcPr>
          <w:p w14:paraId="4010546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1681.42 </w:t>
            </w:r>
          </w:p>
        </w:tc>
        <w:tc>
          <w:tcPr>
            <w:tcW w:w="1324" w:type="dxa"/>
            <w:vAlign w:val="center"/>
          </w:tcPr>
          <w:p w14:paraId="4361DFC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336284</w:t>
            </w:r>
          </w:p>
        </w:tc>
      </w:tr>
      <w:tr w14:paraId="59BA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0664460D">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9</w:t>
            </w:r>
          </w:p>
        </w:tc>
        <w:tc>
          <w:tcPr>
            <w:tcW w:w="1186" w:type="dxa"/>
            <w:vAlign w:val="center"/>
          </w:tcPr>
          <w:p w14:paraId="12596562">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改土基质</w:t>
            </w:r>
          </w:p>
        </w:tc>
        <w:tc>
          <w:tcPr>
            <w:tcW w:w="4035" w:type="dxa"/>
            <w:shd w:val="clear" w:color="auto" w:fill="auto"/>
            <w:vAlign w:val="center"/>
          </w:tcPr>
          <w:p w14:paraId="7557C543">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1.总养分≥2.6%； </w:t>
            </w:r>
          </w:p>
          <w:p w14:paraId="00CE906B">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2.氮含量：≥1.4； </w:t>
            </w:r>
          </w:p>
          <w:p w14:paraId="6A4DE90C">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3.五氧化二磷含量：≥0.4； </w:t>
            </w:r>
          </w:p>
          <w:p w14:paraId="4CB3AA55">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4.氧化钾含量：≥0.8； </w:t>
            </w:r>
          </w:p>
          <w:p w14:paraId="107DC530">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5.有机质的质量分数：≥55%； </w:t>
            </w:r>
          </w:p>
          <w:p w14:paraId="1BF6A180">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6.含水量（干样）：≤4%； </w:t>
            </w:r>
          </w:p>
          <w:p w14:paraId="7B094AF8">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7.发芽指数：≥120%； </w:t>
            </w:r>
          </w:p>
          <w:p w14:paraId="4B7FE376">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8.蠕虫卵死亡率：100%； </w:t>
            </w:r>
          </w:p>
          <w:p w14:paraId="575E6542">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9.粪大肠菌群：≥0.4； </w:t>
            </w:r>
          </w:p>
          <w:p w14:paraId="3F378C0D">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10.规格：100L/袋。</w:t>
            </w:r>
          </w:p>
          <w:p w14:paraId="25FB66A2">
            <w:pPr>
              <w:pStyle w:val="23"/>
              <w:ind w:left="0" w:leftChars="0" w:firstLine="0" w:firstLineChars="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color w:val="auto"/>
                <w:sz w:val="24"/>
                <w:szCs w:val="24"/>
                <w:highlight w:val="none"/>
                <w:vertAlign w:val="baseline"/>
                <w:lang w:val="en-US" w:eastAsia="zh-CN"/>
              </w:rPr>
              <w:t>注：以上1-9项参数开标时须提供第三方检测机构出具的检测报告复印件加盖投标人公章佐证。（未提供或提供不符做无效投标处理）</w:t>
            </w:r>
          </w:p>
        </w:tc>
        <w:tc>
          <w:tcPr>
            <w:tcW w:w="641" w:type="dxa"/>
            <w:vAlign w:val="center"/>
          </w:tcPr>
          <w:p w14:paraId="3950CAAE">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包</w:t>
            </w:r>
          </w:p>
        </w:tc>
        <w:tc>
          <w:tcPr>
            <w:tcW w:w="1010" w:type="dxa"/>
            <w:vAlign w:val="center"/>
          </w:tcPr>
          <w:p w14:paraId="0BB77B67">
            <w:pPr>
              <w:keepNext w:val="0"/>
              <w:keepLines w:val="0"/>
              <w:widowControl/>
              <w:suppressLineNumbers w:val="0"/>
              <w:jc w:val="center"/>
              <w:textAlignment w:val="center"/>
              <w:rPr>
                <w:rFonts w:hint="default" w:ascii="宋体" w:hAnsi="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2000</w:t>
            </w:r>
          </w:p>
        </w:tc>
        <w:tc>
          <w:tcPr>
            <w:tcW w:w="1233" w:type="dxa"/>
            <w:vAlign w:val="center"/>
          </w:tcPr>
          <w:p w14:paraId="0E57F63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21.60 </w:t>
            </w:r>
          </w:p>
        </w:tc>
        <w:tc>
          <w:tcPr>
            <w:tcW w:w="1324" w:type="dxa"/>
            <w:vAlign w:val="center"/>
          </w:tcPr>
          <w:p w14:paraId="32C1519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43200</w:t>
            </w:r>
          </w:p>
        </w:tc>
      </w:tr>
      <w:tr w14:paraId="11B8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4BF74A03">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10</w:t>
            </w:r>
          </w:p>
        </w:tc>
        <w:tc>
          <w:tcPr>
            <w:tcW w:w="1186" w:type="dxa"/>
            <w:vAlign w:val="center"/>
          </w:tcPr>
          <w:p w14:paraId="48DDBCB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尿素</w:t>
            </w:r>
          </w:p>
        </w:tc>
        <w:tc>
          <w:tcPr>
            <w:tcW w:w="4035" w:type="dxa"/>
            <w:vAlign w:val="center"/>
          </w:tcPr>
          <w:p w14:paraId="12FFD1AC">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p>
          <w:p w14:paraId="007C0F96">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cs="宋体"/>
                <w:b w:val="0"/>
                <w:bCs/>
                <w:color w:val="auto"/>
                <w:sz w:val="24"/>
                <w:szCs w:val="24"/>
                <w:highlight w:val="none"/>
                <w:vertAlign w:val="baseline"/>
                <w:lang w:val="en-US" w:eastAsia="zh-CN"/>
              </w:rPr>
              <w:t>1.</w:t>
            </w:r>
            <w:r>
              <w:rPr>
                <w:rFonts w:hint="eastAsia" w:ascii="宋体" w:hAnsi="宋体" w:eastAsia="宋体" w:cs="宋体"/>
                <w:b w:val="0"/>
                <w:bCs/>
                <w:color w:val="auto"/>
                <w:sz w:val="24"/>
                <w:szCs w:val="24"/>
                <w:highlight w:val="none"/>
                <w:vertAlign w:val="baseline"/>
                <w:lang w:val="en-US" w:eastAsia="zh-CN"/>
              </w:rPr>
              <w:t>符合 GB/T2440-2017 国标，</w:t>
            </w:r>
          </w:p>
          <w:p w14:paraId="4C06E873">
            <w:pPr>
              <w:keepNext w:val="0"/>
              <w:keepLines w:val="0"/>
              <w:widowControl/>
              <w:numPr>
                <w:ilvl w:val="0"/>
                <w:numId w:val="0"/>
              </w:numPr>
              <w:suppressLineNumbers w:val="0"/>
              <w:jc w:val="left"/>
              <w:textAlignment w:val="center"/>
              <w:rPr>
                <w:rFonts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总氮 (N)≥46.0%</w:t>
            </w:r>
          </w:p>
          <w:p w14:paraId="3F337B62">
            <w:pPr>
              <w:keepNext w:val="0"/>
              <w:keepLines w:val="0"/>
              <w:widowControl/>
              <w:numPr>
                <w:ilvl w:val="0"/>
                <w:numId w:val="0"/>
              </w:numPr>
              <w:suppressLineNumbers w:val="0"/>
              <w:jc w:val="left"/>
              <w:textAlignment w:val="center"/>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缩二脲≤0.9%；</w:t>
            </w:r>
          </w:p>
          <w:p w14:paraId="0183BBA9">
            <w:pPr>
              <w:keepNext w:val="0"/>
              <w:keepLines w:val="0"/>
              <w:widowControl/>
              <w:numPr>
                <w:ilvl w:val="0"/>
                <w:numId w:val="0"/>
              </w:numPr>
              <w:suppressLineNumbers w:val="0"/>
              <w:jc w:val="left"/>
              <w:textAlignment w:val="center"/>
              <w:rPr>
                <w:rFonts w:ascii="宋体" w:hAnsi="宋体" w:eastAsia="宋体" w:cs="宋体"/>
                <w:sz w:val="24"/>
                <w:szCs w:val="24"/>
              </w:rPr>
            </w:pPr>
            <w:r>
              <w:rPr>
                <w:rFonts w:hint="eastAsia" w:ascii="宋体" w:hAnsi="宋体" w:eastAsia="宋体" w:cs="宋体"/>
                <w:sz w:val="24"/>
                <w:szCs w:val="24"/>
                <w:lang w:val="en-US" w:eastAsia="zh-CN"/>
              </w:rPr>
              <w:t>4.</w:t>
            </w:r>
            <w:r>
              <w:rPr>
                <w:rFonts w:ascii="宋体" w:hAnsi="宋体" w:eastAsia="宋体" w:cs="宋体"/>
                <w:sz w:val="24"/>
                <w:szCs w:val="24"/>
              </w:rPr>
              <w:t>水分≤0.50%；</w:t>
            </w:r>
          </w:p>
          <w:p w14:paraId="320C7E10">
            <w:pPr>
              <w:keepNext w:val="0"/>
              <w:keepLines w:val="0"/>
              <w:widowControl/>
              <w:numPr>
                <w:ilvl w:val="0"/>
                <w:numId w:val="0"/>
              </w:numPr>
              <w:suppressLineNumbers w:val="0"/>
              <w:jc w:val="left"/>
              <w:textAlignment w:val="center"/>
              <w:rPr>
                <w:rFonts w:ascii="宋体" w:hAnsi="宋体" w:eastAsia="宋体" w:cs="宋体"/>
                <w:sz w:val="24"/>
                <w:szCs w:val="24"/>
              </w:rPr>
            </w:pPr>
            <w:r>
              <w:rPr>
                <w:rFonts w:hint="eastAsia" w:ascii="宋体" w:hAnsi="宋体" w:eastAsia="宋体" w:cs="宋体"/>
                <w:sz w:val="24"/>
                <w:szCs w:val="24"/>
                <w:lang w:val="en-US" w:eastAsia="zh-CN"/>
              </w:rPr>
              <w:t>5.</w:t>
            </w:r>
            <w:r>
              <w:rPr>
                <w:rFonts w:ascii="宋体" w:hAnsi="宋体" w:eastAsia="宋体" w:cs="宋体"/>
                <w:sz w:val="24"/>
                <w:szCs w:val="24"/>
              </w:rPr>
              <w:t xml:space="preserve">粒度 0.85mm～2.80mm </w:t>
            </w:r>
          </w:p>
          <w:p w14:paraId="4E70A5D3">
            <w:pPr>
              <w:keepNext w:val="0"/>
              <w:keepLines w:val="0"/>
              <w:widowControl/>
              <w:numPr>
                <w:ilvl w:val="0"/>
                <w:numId w:val="0"/>
              </w:numPr>
              <w:suppressLineNumbers w:val="0"/>
              <w:jc w:val="left"/>
              <w:textAlignment w:val="center"/>
              <w:rPr>
                <w:rFonts w:ascii="宋体" w:hAnsi="宋体" w:eastAsia="宋体" w:cs="宋体"/>
                <w:sz w:val="24"/>
                <w:szCs w:val="24"/>
              </w:rPr>
            </w:pPr>
            <w:r>
              <w:rPr>
                <w:rFonts w:hint="eastAsia" w:ascii="宋体" w:hAnsi="宋体" w:eastAsia="宋体" w:cs="宋体"/>
                <w:sz w:val="24"/>
                <w:szCs w:val="24"/>
                <w:lang w:val="en-US" w:eastAsia="zh-CN"/>
              </w:rPr>
              <w:t>6.</w:t>
            </w:r>
            <w:r>
              <w:rPr>
                <w:rFonts w:ascii="宋体" w:hAnsi="宋体" w:eastAsia="宋体" w:cs="宋体"/>
                <w:sz w:val="24"/>
                <w:szCs w:val="24"/>
              </w:rPr>
              <w:t>颗粒占比≥90%；</w:t>
            </w:r>
          </w:p>
          <w:p w14:paraId="2D536361">
            <w:pPr>
              <w:keepNext w:val="0"/>
              <w:keepLines w:val="0"/>
              <w:widowControl/>
              <w:numPr>
                <w:ilvl w:val="0"/>
                <w:numId w:val="0"/>
              </w:numPr>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ascii="宋体" w:hAnsi="宋体" w:eastAsia="宋体" w:cs="宋体"/>
                <w:sz w:val="24"/>
                <w:szCs w:val="24"/>
              </w:rPr>
              <w:t>白色颗粒，松散无严重结块</w:t>
            </w:r>
            <w:r>
              <w:rPr>
                <w:rFonts w:hint="eastAsia" w:ascii="宋体" w:hAnsi="宋体" w:eastAsia="宋体" w:cs="宋体"/>
                <w:sz w:val="24"/>
                <w:szCs w:val="24"/>
                <w:lang w:val="en-US" w:eastAsia="zh-CN"/>
              </w:rPr>
              <w:t>,</w:t>
            </w:r>
          </w:p>
          <w:p w14:paraId="2AE7B030">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sz w:val="24"/>
                <w:szCs w:val="24"/>
                <w:lang w:val="en-US" w:eastAsia="zh-CN"/>
              </w:rPr>
              <w:t>8.包装：</w:t>
            </w:r>
            <w:r>
              <w:rPr>
                <w:rFonts w:ascii="宋体" w:hAnsi="宋体" w:eastAsia="宋体" w:cs="宋体"/>
                <w:sz w:val="24"/>
                <w:szCs w:val="24"/>
              </w:rPr>
              <w:t>50kg/袋，内塑外编织袋</w:t>
            </w:r>
          </w:p>
        </w:tc>
        <w:tc>
          <w:tcPr>
            <w:tcW w:w="641" w:type="dxa"/>
            <w:vAlign w:val="center"/>
          </w:tcPr>
          <w:p w14:paraId="4B6FD2A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吨</w:t>
            </w:r>
          </w:p>
        </w:tc>
        <w:tc>
          <w:tcPr>
            <w:tcW w:w="1010" w:type="dxa"/>
            <w:vAlign w:val="center"/>
          </w:tcPr>
          <w:p w14:paraId="2B43167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10</w:t>
            </w:r>
            <w:r>
              <w:rPr>
                <w:rFonts w:hint="eastAsia" w:ascii="宋体" w:hAnsi="宋体" w:eastAsia="宋体" w:cs="宋体"/>
                <w:i w:val="0"/>
                <w:iCs w:val="0"/>
                <w:color w:val="auto"/>
                <w:kern w:val="0"/>
                <w:sz w:val="24"/>
                <w:szCs w:val="24"/>
                <w:highlight w:val="none"/>
                <w:u w:val="none"/>
                <w:lang w:val="en-US" w:eastAsia="zh-CN" w:bidi="ar"/>
              </w:rPr>
              <w:t xml:space="preserve"> </w:t>
            </w:r>
          </w:p>
        </w:tc>
        <w:tc>
          <w:tcPr>
            <w:tcW w:w="1233" w:type="dxa"/>
            <w:vAlign w:val="center"/>
          </w:tcPr>
          <w:p w14:paraId="608E627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1926.61 </w:t>
            </w:r>
          </w:p>
        </w:tc>
        <w:tc>
          <w:tcPr>
            <w:tcW w:w="1324" w:type="dxa"/>
            <w:vAlign w:val="center"/>
          </w:tcPr>
          <w:p w14:paraId="39199AC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19266.1</w:t>
            </w:r>
          </w:p>
        </w:tc>
      </w:tr>
      <w:tr w14:paraId="74DD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0ED121AB">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11</w:t>
            </w:r>
          </w:p>
        </w:tc>
        <w:tc>
          <w:tcPr>
            <w:tcW w:w="1186" w:type="dxa"/>
            <w:vAlign w:val="center"/>
          </w:tcPr>
          <w:p w14:paraId="12360A0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磷肥</w:t>
            </w:r>
          </w:p>
        </w:tc>
        <w:tc>
          <w:tcPr>
            <w:tcW w:w="4035" w:type="dxa"/>
            <w:vAlign w:val="center"/>
          </w:tcPr>
          <w:p w14:paraId="434C9CBA">
            <w:pPr>
              <w:keepNext w:val="0"/>
              <w:keepLines w:val="0"/>
              <w:widowControl/>
              <w:numPr>
                <w:ilvl w:val="0"/>
                <w:numId w:val="0"/>
              </w:numPr>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ascii="宋体" w:hAnsi="宋体" w:eastAsia="宋体" w:cs="宋体"/>
                <w:sz w:val="24"/>
                <w:szCs w:val="24"/>
                <w:highlight w:val="none"/>
              </w:rPr>
              <w:t xml:space="preserve">有效磷（P₂O₅）≥16.0% </w:t>
            </w:r>
          </w:p>
          <w:p w14:paraId="087F0C1A">
            <w:pPr>
              <w:keepNext w:val="0"/>
              <w:keepLines w:val="0"/>
              <w:widowControl/>
              <w:numPr>
                <w:ilvl w:val="0"/>
                <w:numId w:val="0"/>
              </w:numPr>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ascii="宋体" w:hAnsi="宋体" w:eastAsia="宋体" w:cs="宋体"/>
                <w:sz w:val="24"/>
                <w:szCs w:val="24"/>
                <w:highlight w:val="none"/>
              </w:rPr>
              <w:t xml:space="preserve">水溶性磷（P₂O₅）≥11.0% </w:t>
            </w:r>
          </w:p>
          <w:p w14:paraId="05901D28">
            <w:pPr>
              <w:keepNext w:val="0"/>
              <w:keepLines w:val="0"/>
              <w:widowControl/>
              <w:numPr>
                <w:ilvl w:val="0"/>
                <w:numId w:val="0"/>
              </w:numPr>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ascii="宋体" w:hAnsi="宋体" w:eastAsia="宋体" w:cs="宋体"/>
                <w:sz w:val="24"/>
                <w:szCs w:val="24"/>
                <w:highlight w:val="none"/>
              </w:rPr>
              <w:t xml:space="preserve">游离酸（P₂O₅）≤5.5% </w:t>
            </w:r>
          </w:p>
          <w:p w14:paraId="6F2EB460">
            <w:pPr>
              <w:keepNext w:val="0"/>
              <w:keepLines w:val="0"/>
              <w:widowControl/>
              <w:numPr>
                <w:ilvl w:val="0"/>
                <w:numId w:val="0"/>
              </w:numPr>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ascii="宋体" w:hAnsi="宋体" w:eastAsia="宋体" w:cs="宋体"/>
                <w:sz w:val="24"/>
                <w:szCs w:val="24"/>
                <w:highlight w:val="none"/>
              </w:rPr>
              <w:t xml:space="preserve">水分≤12.0% </w:t>
            </w:r>
          </w:p>
          <w:p w14:paraId="074AF1B3">
            <w:pPr>
              <w:keepNext w:val="0"/>
              <w:keepLines w:val="0"/>
              <w:widowControl/>
              <w:numPr>
                <w:ilvl w:val="0"/>
                <w:numId w:val="0"/>
              </w:numPr>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ascii="宋体" w:hAnsi="宋体" w:eastAsia="宋体" w:cs="宋体"/>
                <w:sz w:val="24"/>
                <w:szCs w:val="24"/>
                <w:highlight w:val="none"/>
              </w:rPr>
              <w:t xml:space="preserve">形态：颗粒，无严重结块、无大量粉尘 </w:t>
            </w:r>
          </w:p>
          <w:p w14:paraId="38F23E0C">
            <w:pPr>
              <w:keepNext w:val="0"/>
              <w:keepLines w:val="0"/>
              <w:widowControl/>
              <w:numPr>
                <w:ilvl w:val="0"/>
                <w:numId w:val="0"/>
              </w:numPr>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ascii="宋体" w:hAnsi="宋体" w:eastAsia="宋体" w:cs="宋体"/>
                <w:sz w:val="24"/>
                <w:szCs w:val="24"/>
                <w:highlight w:val="none"/>
              </w:rPr>
              <w:t xml:space="preserve">粒度：1.0～4.75mm 颗粒≥80% </w:t>
            </w:r>
          </w:p>
          <w:p w14:paraId="596DBF68">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sz w:val="24"/>
                <w:szCs w:val="24"/>
                <w:highlight w:val="none"/>
                <w:lang w:val="en-US" w:eastAsia="zh-CN"/>
              </w:rPr>
              <w:t>7.</w:t>
            </w:r>
            <w:r>
              <w:rPr>
                <w:rFonts w:ascii="宋体" w:hAnsi="宋体" w:eastAsia="宋体" w:cs="宋体"/>
                <w:sz w:val="24"/>
                <w:szCs w:val="24"/>
                <w:highlight w:val="none"/>
              </w:rPr>
              <w:t>包装：50kg/袋，内塑外编织袋</w:t>
            </w:r>
          </w:p>
        </w:tc>
        <w:tc>
          <w:tcPr>
            <w:tcW w:w="641" w:type="dxa"/>
            <w:vAlign w:val="center"/>
          </w:tcPr>
          <w:p w14:paraId="45B23664">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吨</w:t>
            </w:r>
          </w:p>
        </w:tc>
        <w:tc>
          <w:tcPr>
            <w:tcW w:w="1010" w:type="dxa"/>
            <w:vAlign w:val="center"/>
          </w:tcPr>
          <w:p w14:paraId="12AE09F5">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2</w:t>
            </w:r>
          </w:p>
        </w:tc>
        <w:tc>
          <w:tcPr>
            <w:tcW w:w="1233" w:type="dxa"/>
            <w:vAlign w:val="center"/>
          </w:tcPr>
          <w:p w14:paraId="00E7AE2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1061.95 </w:t>
            </w:r>
          </w:p>
        </w:tc>
        <w:tc>
          <w:tcPr>
            <w:tcW w:w="1324" w:type="dxa"/>
            <w:vAlign w:val="center"/>
          </w:tcPr>
          <w:p w14:paraId="196919E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2123.9</w:t>
            </w:r>
          </w:p>
        </w:tc>
      </w:tr>
      <w:tr w14:paraId="13B2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57E755EE">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12</w:t>
            </w:r>
          </w:p>
        </w:tc>
        <w:tc>
          <w:tcPr>
            <w:tcW w:w="1186" w:type="dxa"/>
            <w:vAlign w:val="center"/>
          </w:tcPr>
          <w:p w14:paraId="0A8E12A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香樟</w:t>
            </w:r>
          </w:p>
        </w:tc>
        <w:tc>
          <w:tcPr>
            <w:tcW w:w="4035" w:type="dxa"/>
            <w:vAlign w:val="top"/>
          </w:tcPr>
          <w:p w14:paraId="3DAC32E6">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直径18-20公分,冠幅H600-700P400-500</w:t>
            </w:r>
          </w:p>
        </w:tc>
        <w:tc>
          <w:tcPr>
            <w:tcW w:w="641" w:type="dxa"/>
            <w:vAlign w:val="center"/>
          </w:tcPr>
          <w:p w14:paraId="18EC8FF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株</w:t>
            </w:r>
          </w:p>
        </w:tc>
        <w:tc>
          <w:tcPr>
            <w:tcW w:w="1010" w:type="dxa"/>
            <w:vAlign w:val="center"/>
          </w:tcPr>
          <w:p w14:paraId="6C75C132">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200</w:t>
            </w:r>
          </w:p>
        </w:tc>
        <w:tc>
          <w:tcPr>
            <w:tcW w:w="1233" w:type="dxa"/>
            <w:vAlign w:val="center"/>
          </w:tcPr>
          <w:p w14:paraId="1763EFB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2003.67 </w:t>
            </w:r>
          </w:p>
        </w:tc>
        <w:tc>
          <w:tcPr>
            <w:tcW w:w="1324" w:type="dxa"/>
            <w:vAlign w:val="center"/>
          </w:tcPr>
          <w:p w14:paraId="3E4F0E9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400734</w:t>
            </w:r>
          </w:p>
        </w:tc>
      </w:tr>
      <w:tr w14:paraId="1C4F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50D7E7B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3</w:t>
            </w:r>
          </w:p>
        </w:tc>
        <w:tc>
          <w:tcPr>
            <w:tcW w:w="1186" w:type="dxa"/>
            <w:vAlign w:val="center"/>
          </w:tcPr>
          <w:p w14:paraId="7A637F60">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毛竹</w:t>
            </w:r>
          </w:p>
        </w:tc>
        <w:tc>
          <w:tcPr>
            <w:tcW w:w="4035" w:type="dxa"/>
            <w:vAlign w:val="top"/>
          </w:tcPr>
          <w:p w14:paraId="13D71878">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胸径或干径:Φ3-4，株高:H600-700 自然冠幅，竹类栽植胸径在(4cm内)；散生竹</w:t>
            </w:r>
            <w:r>
              <w:rPr>
                <w:rFonts w:hint="eastAsia" w:ascii="宋体" w:hAnsi="宋体" w:cs="宋体"/>
                <w:b w:val="0"/>
                <w:bCs/>
                <w:color w:val="auto"/>
                <w:sz w:val="24"/>
                <w:szCs w:val="24"/>
                <w:highlight w:val="none"/>
                <w:vertAlign w:val="baseline"/>
                <w:lang w:val="en-US" w:eastAsia="zh-CN"/>
              </w:rPr>
              <w:t>；</w:t>
            </w:r>
          </w:p>
        </w:tc>
        <w:tc>
          <w:tcPr>
            <w:tcW w:w="641" w:type="dxa"/>
            <w:vAlign w:val="center"/>
          </w:tcPr>
          <w:p w14:paraId="24746D58">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株</w:t>
            </w:r>
          </w:p>
        </w:tc>
        <w:tc>
          <w:tcPr>
            <w:tcW w:w="1010" w:type="dxa"/>
            <w:vAlign w:val="center"/>
          </w:tcPr>
          <w:p w14:paraId="2CD2D02D">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26300</w:t>
            </w:r>
          </w:p>
        </w:tc>
        <w:tc>
          <w:tcPr>
            <w:tcW w:w="1233" w:type="dxa"/>
            <w:vAlign w:val="center"/>
          </w:tcPr>
          <w:p w14:paraId="0CC00AC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12.87 </w:t>
            </w:r>
          </w:p>
        </w:tc>
        <w:tc>
          <w:tcPr>
            <w:tcW w:w="1324" w:type="dxa"/>
            <w:vAlign w:val="center"/>
          </w:tcPr>
          <w:p w14:paraId="0EA8A20E">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338481</w:t>
            </w:r>
          </w:p>
        </w:tc>
      </w:tr>
      <w:tr w14:paraId="70A9D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6ED6E791">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4</w:t>
            </w:r>
          </w:p>
        </w:tc>
        <w:tc>
          <w:tcPr>
            <w:tcW w:w="1186" w:type="dxa"/>
            <w:vAlign w:val="center"/>
          </w:tcPr>
          <w:p w14:paraId="4C172C97">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草皮（</w:t>
            </w:r>
            <w:r>
              <w:rPr>
                <w:rFonts w:hint="eastAsia" w:ascii="宋体" w:hAnsi="宋体" w:cs="宋体"/>
                <w:b w:val="0"/>
                <w:bCs/>
                <w:color w:val="auto"/>
                <w:sz w:val="24"/>
                <w:szCs w:val="24"/>
                <w:highlight w:val="none"/>
                <w:vertAlign w:val="baseline"/>
                <w:lang w:val="en-US" w:eastAsia="zh-CN"/>
              </w:rPr>
              <w:t>百慕大</w:t>
            </w:r>
            <w:r>
              <w:rPr>
                <w:rFonts w:hint="eastAsia" w:ascii="宋体" w:hAnsi="宋体" w:cs="宋体"/>
                <w:i w:val="0"/>
                <w:iCs w:val="0"/>
                <w:color w:val="auto"/>
                <w:kern w:val="0"/>
                <w:sz w:val="24"/>
                <w:szCs w:val="24"/>
                <w:highlight w:val="none"/>
                <w:u w:val="none"/>
                <w:lang w:val="en-US" w:eastAsia="zh-CN" w:bidi="ar"/>
              </w:rPr>
              <w:t>）</w:t>
            </w:r>
          </w:p>
        </w:tc>
        <w:tc>
          <w:tcPr>
            <w:tcW w:w="4035" w:type="dxa"/>
            <w:vAlign w:val="top"/>
          </w:tcPr>
          <w:p w14:paraId="229C09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hint="eastAsia" w:ascii="Symbol" w:hAnsi="Symbol" w:eastAsia="宋体" w:cs="Symbol"/>
                <w:sz w:val="24"/>
                <w:lang w:val="en-US" w:eastAsia="zh-CN"/>
              </w:rPr>
              <w:t>1.</w:t>
            </w:r>
            <w:r>
              <w:rPr>
                <w:color w:val="000000"/>
                <w:sz w:val="24"/>
                <w:szCs w:val="24"/>
              </w:rPr>
              <w:t>草皮尺寸：宽 0.35m × 长 1.0m（允许尺寸误差 ±2cm）</w:t>
            </w:r>
          </w:p>
          <w:p w14:paraId="4F7840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hint="eastAsia" w:ascii="Symbol" w:hAnsi="Symbol" w:eastAsia="宋体" w:cs="Symbol"/>
                <w:sz w:val="24"/>
                <w:lang w:val="en-US" w:eastAsia="zh-CN"/>
              </w:rPr>
              <w:t>2.</w:t>
            </w:r>
            <w:r>
              <w:rPr>
                <w:color w:val="000000"/>
                <w:sz w:val="24"/>
                <w:szCs w:val="24"/>
              </w:rPr>
              <w:t>带土基质厚度：2.0～3.0cm；土层均匀，不薄土、不厚泥</w:t>
            </w:r>
          </w:p>
          <w:p w14:paraId="616B3D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rPr>
            </w:pPr>
            <w:r>
              <w:rPr>
                <w:rFonts w:hint="eastAsia" w:ascii="Symbol" w:hAnsi="Symbol" w:eastAsia="宋体" w:cs="Symbol"/>
                <w:sz w:val="24"/>
                <w:lang w:val="en-US" w:eastAsia="zh-CN"/>
              </w:rPr>
              <w:t>3.</w:t>
            </w:r>
            <w:r>
              <w:rPr>
                <w:color w:val="000000"/>
                <w:sz w:val="24"/>
                <w:szCs w:val="24"/>
              </w:rPr>
              <w:t>草层修剪高度：3～5cm；叶片纤细，颜色均匀翠绿</w:t>
            </w:r>
          </w:p>
          <w:p w14:paraId="67F24D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z w:val="24"/>
                <w:szCs w:val="24"/>
              </w:rPr>
            </w:pPr>
            <w:r>
              <w:rPr>
                <w:rFonts w:hint="eastAsia" w:ascii="Symbol" w:hAnsi="Symbol" w:eastAsia="宋体" w:cs="Symbol"/>
                <w:sz w:val="24"/>
                <w:lang w:val="en-US" w:eastAsia="zh-CN"/>
              </w:rPr>
              <w:t>4.</w:t>
            </w:r>
            <w:r>
              <w:rPr>
                <w:rFonts w:ascii="宋体" w:hAnsi="宋体" w:eastAsia="宋体" w:cs="宋体"/>
                <w:sz w:val="24"/>
                <w:szCs w:val="24"/>
              </w:rPr>
              <w:t>草坪覆盖度 ≥98%</w:t>
            </w:r>
          </w:p>
          <w:p w14:paraId="0DCD54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ascii="宋体" w:hAnsi="宋体" w:eastAsia="宋体" w:cs="宋体"/>
                <w:sz w:val="24"/>
                <w:szCs w:val="24"/>
              </w:rPr>
              <w:t>杂草占比 ≤0.5%严禁马齿苋、牛筋草、马唐等恶性杂草</w:t>
            </w:r>
            <w:r>
              <w:rPr>
                <w:rFonts w:hint="eastAsia" w:ascii="宋体" w:hAnsi="宋体" w:eastAsia="宋体" w:cs="宋体"/>
                <w:sz w:val="24"/>
                <w:szCs w:val="24"/>
                <w:lang w:eastAsia="zh-CN"/>
              </w:rPr>
              <w:t>。</w:t>
            </w:r>
          </w:p>
          <w:p w14:paraId="78BB80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sz w:val="24"/>
                <w:szCs w:val="24"/>
              </w:rPr>
            </w:pPr>
            <w:r>
              <w:rPr>
                <w:rFonts w:hint="eastAsia" w:ascii="宋体" w:hAnsi="宋体" w:eastAsia="宋体" w:cs="宋体"/>
                <w:sz w:val="24"/>
                <w:szCs w:val="24"/>
                <w:lang w:val="en-US" w:eastAsia="zh-CN"/>
              </w:rPr>
              <w:t>6.</w:t>
            </w:r>
            <w:r>
              <w:rPr>
                <w:rFonts w:ascii="宋体" w:hAnsi="宋体" w:eastAsia="宋体" w:cs="宋体"/>
                <w:sz w:val="24"/>
                <w:szCs w:val="24"/>
              </w:rPr>
              <w:t>草皮完整性：提起不散、不脱土，徒手拉扯不易碎裂</w:t>
            </w:r>
          </w:p>
          <w:p w14:paraId="6117D255">
            <w:pPr>
              <w:keepNext w:val="0"/>
              <w:keepLines w:val="0"/>
              <w:widowControl/>
              <w:numPr>
                <w:ilvl w:val="0"/>
                <w:numId w:val="0"/>
              </w:numPr>
              <w:suppressLineNumbers w:val="0"/>
              <w:jc w:val="left"/>
              <w:textAlignment w:val="center"/>
              <w:rPr>
                <w:rFonts w:hint="default" w:ascii="宋体" w:hAnsi="宋体" w:eastAsia="宋体" w:cs="宋体"/>
                <w:b w:val="0"/>
                <w:bCs/>
                <w:color w:val="auto"/>
                <w:sz w:val="24"/>
                <w:szCs w:val="24"/>
                <w:highlight w:val="none"/>
                <w:vertAlign w:val="baseline"/>
                <w:lang w:val="en-US" w:eastAsia="zh-CN"/>
              </w:rPr>
            </w:pPr>
            <w:r>
              <w:rPr>
                <w:rFonts w:hint="eastAsia" w:ascii="宋体" w:hAnsi="宋体" w:eastAsia="宋体" w:cs="宋体"/>
                <w:sz w:val="24"/>
                <w:szCs w:val="24"/>
                <w:lang w:val="en-US" w:eastAsia="zh-CN"/>
              </w:rPr>
              <w:t>7.</w:t>
            </w:r>
            <w:r>
              <w:rPr>
                <w:rFonts w:ascii="宋体" w:hAnsi="宋体" w:eastAsia="宋体" w:cs="宋体"/>
                <w:sz w:val="24"/>
                <w:szCs w:val="24"/>
              </w:rPr>
              <w:t>品种纯度：纯正矮生百慕大，不得混杂马尼拉、普通野生狗牙根等其他草种</w:t>
            </w:r>
          </w:p>
        </w:tc>
        <w:tc>
          <w:tcPr>
            <w:tcW w:w="641" w:type="dxa"/>
            <w:vAlign w:val="center"/>
          </w:tcPr>
          <w:p w14:paraId="07100812">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w:t>
            </w:r>
          </w:p>
        </w:tc>
        <w:tc>
          <w:tcPr>
            <w:tcW w:w="1010" w:type="dxa"/>
            <w:vAlign w:val="center"/>
          </w:tcPr>
          <w:p w14:paraId="5FCD60FD">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52500</w:t>
            </w:r>
          </w:p>
        </w:tc>
        <w:tc>
          <w:tcPr>
            <w:tcW w:w="1233" w:type="dxa"/>
            <w:vAlign w:val="center"/>
          </w:tcPr>
          <w:p w14:paraId="561BFF1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8.00 </w:t>
            </w:r>
          </w:p>
        </w:tc>
        <w:tc>
          <w:tcPr>
            <w:tcW w:w="1324" w:type="dxa"/>
            <w:vAlign w:val="center"/>
          </w:tcPr>
          <w:p w14:paraId="163016F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420000</w:t>
            </w:r>
          </w:p>
        </w:tc>
      </w:tr>
      <w:tr w14:paraId="3CCB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2E6EECC0">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5</w:t>
            </w:r>
          </w:p>
        </w:tc>
        <w:tc>
          <w:tcPr>
            <w:tcW w:w="1186" w:type="dxa"/>
            <w:vAlign w:val="center"/>
          </w:tcPr>
          <w:p w14:paraId="43AC383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红叶石楠色块苗</w:t>
            </w:r>
          </w:p>
        </w:tc>
        <w:tc>
          <w:tcPr>
            <w:tcW w:w="4035" w:type="dxa"/>
            <w:vAlign w:val="center"/>
          </w:tcPr>
          <w:p w14:paraId="6BB5F23B">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红叶石楠色块苗H50-60P20-25</w:t>
            </w:r>
          </w:p>
        </w:tc>
        <w:tc>
          <w:tcPr>
            <w:tcW w:w="641" w:type="dxa"/>
            <w:vAlign w:val="center"/>
          </w:tcPr>
          <w:p w14:paraId="15BF674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棵</w:t>
            </w:r>
          </w:p>
        </w:tc>
        <w:tc>
          <w:tcPr>
            <w:tcW w:w="1010" w:type="dxa"/>
            <w:vAlign w:val="center"/>
          </w:tcPr>
          <w:p w14:paraId="5DD506DD">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150</w:t>
            </w:r>
            <w:r>
              <w:rPr>
                <w:rFonts w:hint="eastAsia" w:ascii="宋体" w:hAnsi="宋体" w:eastAsia="宋体" w:cs="宋体"/>
                <w:i w:val="0"/>
                <w:iCs w:val="0"/>
                <w:color w:val="auto"/>
                <w:kern w:val="0"/>
                <w:sz w:val="24"/>
                <w:szCs w:val="24"/>
                <w:highlight w:val="none"/>
                <w:u w:val="none"/>
                <w:lang w:val="en-US" w:eastAsia="zh-CN" w:bidi="ar"/>
              </w:rPr>
              <w:t xml:space="preserve">000 </w:t>
            </w:r>
          </w:p>
        </w:tc>
        <w:tc>
          <w:tcPr>
            <w:tcW w:w="1233" w:type="dxa"/>
            <w:vAlign w:val="center"/>
          </w:tcPr>
          <w:p w14:paraId="42010FEC">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1.83 </w:t>
            </w:r>
          </w:p>
        </w:tc>
        <w:tc>
          <w:tcPr>
            <w:tcW w:w="1324" w:type="dxa"/>
            <w:vAlign w:val="center"/>
          </w:tcPr>
          <w:p w14:paraId="4E793C45">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274500</w:t>
            </w:r>
          </w:p>
        </w:tc>
      </w:tr>
      <w:tr w14:paraId="0D09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12E51AD3">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6</w:t>
            </w:r>
          </w:p>
        </w:tc>
        <w:tc>
          <w:tcPr>
            <w:tcW w:w="1186" w:type="dxa"/>
            <w:vAlign w:val="center"/>
          </w:tcPr>
          <w:p w14:paraId="31CDCA1A">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红花檵木色块苗</w:t>
            </w:r>
          </w:p>
        </w:tc>
        <w:tc>
          <w:tcPr>
            <w:tcW w:w="4035" w:type="dxa"/>
            <w:vAlign w:val="center"/>
          </w:tcPr>
          <w:p w14:paraId="3A15B4C6">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红花檵木色块苗H30-35P20-25</w:t>
            </w:r>
          </w:p>
        </w:tc>
        <w:tc>
          <w:tcPr>
            <w:tcW w:w="641" w:type="dxa"/>
            <w:vAlign w:val="center"/>
          </w:tcPr>
          <w:p w14:paraId="565E907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棵</w:t>
            </w:r>
          </w:p>
        </w:tc>
        <w:tc>
          <w:tcPr>
            <w:tcW w:w="1010" w:type="dxa"/>
            <w:vAlign w:val="center"/>
          </w:tcPr>
          <w:p w14:paraId="66798C7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30000</w:t>
            </w:r>
            <w:r>
              <w:rPr>
                <w:rFonts w:hint="eastAsia" w:ascii="宋体" w:hAnsi="宋体" w:eastAsia="宋体" w:cs="宋体"/>
                <w:i w:val="0"/>
                <w:iCs w:val="0"/>
                <w:color w:val="auto"/>
                <w:kern w:val="0"/>
                <w:sz w:val="24"/>
                <w:szCs w:val="24"/>
                <w:highlight w:val="none"/>
                <w:u w:val="none"/>
                <w:lang w:val="en-US" w:eastAsia="zh-CN" w:bidi="ar"/>
              </w:rPr>
              <w:t xml:space="preserve"> </w:t>
            </w:r>
          </w:p>
        </w:tc>
        <w:tc>
          <w:tcPr>
            <w:tcW w:w="1233" w:type="dxa"/>
            <w:vAlign w:val="center"/>
          </w:tcPr>
          <w:p w14:paraId="09CD9B9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0.60 </w:t>
            </w:r>
          </w:p>
        </w:tc>
        <w:tc>
          <w:tcPr>
            <w:tcW w:w="1324" w:type="dxa"/>
            <w:vAlign w:val="center"/>
          </w:tcPr>
          <w:p w14:paraId="6B9CF73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18000</w:t>
            </w:r>
          </w:p>
        </w:tc>
      </w:tr>
      <w:tr w14:paraId="0F13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75" w:type="dxa"/>
            <w:vAlign w:val="center"/>
          </w:tcPr>
          <w:p w14:paraId="3CF60299">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7</w:t>
            </w:r>
          </w:p>
        </w:tc>
        <w:tc>
          <w:tcPr>
            <w:tcW w:w="1186" w:type="dxa"/>
            <w:vAlign w:val="center"/>
          </w:tcPr>
          <w:p w14:paraId="2B6EF69B">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金森女贞色块苗</w:t>
            </w:r>
          </w:p>
        </w:tc>
        <w:tc>
          <w:tcPr>
            <w:tcW w:w="4035" w:type="dxa"/>
            <w:vAlign w:val="center"/>
          </w:tcPr>
          <w:p w14:paraId="4D50B984">
            <w:pPr>
              <w:keepNext w:val="0"/>
              <w:keepLines w:val="0"/>
              <w:widowControl/>
              <w:numPr>
                <w:ilvl w:val="0"/>
                <w:numId w:val="0"/>
              </w:numPr>
              <w:suppressLineNumbers w:val="0"/>
              <w:jc w:val="left"/>
              <w:textAlignment w:val="center"/>
              <w:rPr>
                <w:rFonts w:hint="eastAsia" w:ascii="宋体" w:hAnsi="宋体" w:eastAsia="宋体" w:cs="宋体"/>
                <w:b w:val="0"/>
                <w:bCs/>
                <w:color w:val="auto"/>
                <w:sz w:val="24"/>
                <w:szCs w:val="24"/>
                <w:highlight w:val="none"/>
                <w:vertAlign w:val="baseline"/>
                <w:lang w:val="en-US" w:eastAsia="zh-CN"/>
              </w:rPr>
            </w:pPr>
            <w:r>
              <w:rPr>
                <w:rFonts w:hint="eastAsia" w:ascii="宋体" w:hAnsi="宋体" w:eastAsia="宋体" w:cs="宋体"/>
                <w:b w:val="0"/>
                <w:bCs/>
                <w:color w:val="auto"/>
                <w:sz w:val="24"/>
                <w:szCs w:val="24"/>
                <w:highlight w:val="none"/>
                <w:vertAlign w:val="baseline"/>
                <w:lang w:val="en-US" w:eastAsia="zh-CN"/>
              </w:rPr>
              <w:t>金森女贞色块苗H30-35P20-25</w:t>
            </w:r>
          </w:p>
        </w:tc>
        <w:tc>
          <w:tcPr>
            <w:tcW w:w="641" w:type="dxa"/>
            <w:vAlign w:val="center"/>
          </w:tcPr>
          <w:p w14:paraId="1FF97CB2">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棵</w:t>
            </w:r>
          </w:p>
        </w:tc>
        <w:tc>
          <w:tcPr>
            <w:tcW w:w="1010" w:type="dxa"/>
            <w:vAlign w:val="center"/>
          </w:tcPr>
          <w:p w14:paraId="4F7C9B5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30000</w:t>
            </w:r>
            <w:r>
              <w:rPr>
                <w:rFonts w:hint="eastAsia" w:ascii="宋体" w:hAnsi="宋体" w:eastAsia="宋体" w:cs="宋体"/>
                <w:i w:val="0"/>
                <w:iCs w:val="0"/>
                <w:color w:val="auto"/>
                <w:kern w:val="0"/>
                <w:sz w:val="24"/>
                <w:szCs w:val="24"/>
                <w:highlight w:val="none"/>
                <w:u w:val="none"/>
                <w:lang w:val="en-US" w:eastAsia="zh-CN" w:bidi="ar"/>
              </w:rPr>
              <w:t xml:space="preserve"> </w:t>
            </w:r>
          </w:p>
        </w:tc>
        <w:tc>
          <w:tcPr>
            <w:tcW w:w="1233" w:type="dxa"/>
            <w:vAlign w:val="center"/>
          </w:tcPr>
          <w:p w14:paraId="44087AB3">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0.73 </w:t>
            </w:r>
          </w:p>
        </w:tc>
        <w:tc>
          <w:tcPr>
            <w:tcW w:w="1324" w:type="dxa"/>
            <w:vAlign w:val="center"/>
          </w:tcPr>
          <w:p w14:paraId="36EF1E5F">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21900</w:t>
            </w:r>
          </w:p>
        </w:tc>
      </w:tr>
    </w:tbl>
    <w:p w14:paraId="4E26F80A">
      <w:pPr>
        <w:snapToGrid w:val="0"/>
        <w:spacing w:line="336" w:lineRule="auto"/>
        <w:ind w:right="519" w:rightChars="247"/>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4"/>
          <w:szCs w:val="24"/>
          <w:highlight w:val="none"/>
          <w:lang w:val="en-US" w:eastAsia="zh-CN"/>
        </w:rPr>
        <w:t>备</w:t>
      </w:r>
      <w:r>
        <w:rPr>
          <w:rFonts w:ascii="宋体" w:hAnsi="宋体" w:eastAsia="宋体" w:cs="宋体"/>
          <w:b/>
          <w:bCs/>
          <w:color w:val="auto"/>
          <w:sz w:val="24"/>
          <w:szCs w:val="24"/>
          <w:highlight w:val="none"/>
        </w:rPr>
        <w:t>注</w:t>
      </w:r>
      <w:r>
        <w:rPr>
          <w:rFonts w:ascii="宋体" w:hAnsi="宋体" w:eastAsia="宋体" w:cs="宋体"/>
          <w:b/>
          <w:bCs/>
          <w:color w:val="auto"/>
          <w:spacing w:val="-24"/>
          <w:sz w:val="24"/>
          <w:szCs w:val="24"/>
          <w:highlight w:val="none"/>
        </w:rPr>
        <w:t>：</w:t>
      </w:r>
      <w:r>
        <w:rPr>
          <w:rFonts w:ascii="宋体" w:hAnsi="宋体" w:eastAsia="宋体" w:cs="宋体"/>
          <w:color w:val="auto"/>
          <w:sz w:val="24"/>
          <w:szCs w:val="24"/>
          <w:highlight w:val="none"/>
        </w:rPr>
        <w:t>标▲产品为核心产品。</w:t>
      </w:r>
      <w:r>
        <w:rPr>
          <w:rFonts w:hint="eastAsia" w:ascii="宋体" w:hAnsi="宋体" w:cs="宋体"/>
          <w:color w:val="auto"/>
          <w:sz w:val="24"/>
          <w:szCs w:val="24"/>
          <w:highlight w:val="none"/>
          <w:lang w:val="en-US" w:eastAsia="zh-CN"/>
        </w:rPr>
        <w:t>投标报价不得超出预算单价和预算总价。</w:t>
      </w:r>
    </w:p>
    <w:p w14:paraId="334524D3">
      <w:pPr>
        <w:pStyle w:val="29"/>
        <w:tabs>
          <w:tab w:val="left" w:pos="9781"/>
        </w:tabs>
        <w:spacing w:before="0" w:line="360" w:lineRule="auto"/>
        <w:rPr>
          <w:rFonts w:hint="eastAsia" w:eastAsia="宋体" w:cs="宋体"/>
          <w:color w:val="auto"/>
          <w:sz w:val="24"/>
          <w:szCs w:val="24"/>
          <w:highlight w:val="none"/>
          <w:lang w:eastAsia="zh-CN"/>
        </w:rPr>
      </w:pPr>
    </w:p>
    <w:p w14:paraId="295F7219">
      <w:pPr>
        <w:snapToGrid w:val="0"/>
        <w:spacing w:line="336" w:lineRule="auto"/>
        <w:ind w:right="519" w:rightChars="247"/>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val="en-US" w:eastAsia="zh-CN"/>
        </w:rPr>
        <w:t>二</w:t>
      </w:r>
      <w:r>
        <w:rPr>
          <w:rFonts w:hint="eastAsia" w:ascii="宋体" w:hAnsi="宋体" w:eastAsia="宋体" w:cs="宋体"/>
          <w:b/>
          <w:color w:val="auto"/>
          <w:sz w:val="32"/>
          <w:szCs w:val="32"/>
          <w:highlight w:val="none"/>
        </w:rPr>
        <w:tab/>
      </w:r>
      <w:r>
        <w:rPr>
          <w:rFonts w:hint="eastAsia" w:ascii="宋体" w:hAnsi="宋体" w:eastAsia="宋体" w:cs="宋体"/>
          <w:b/>
          <w:color w:val="auto"/>
          <w:sz w:val="32"/>
          <w:szCs w:val="32"/>
          <w:highlight w:val="none"/>
        </w:rPr>
        <w:t>、商务条款</w:t>
      </w:r>
    </w:p>
    <w:p w14:paraId="603F5A43">
      <w:pPr>
        <w:autoSpaceDE w:val="0"/>
        <w:autoSpaceDN w:val="0"/>
        <w:adjustRightInd w:val="0"/>
        <w:snapToGrid w:val="0"/>
        <w:spacing w:line="360" w:lineRule="auto"/>
        <w:rPr>
          <w:rFonts w:hint="eastAsia" w:ascii="宋体" w:hAnsi="宋体" w:eastAsia="Arial" w:cs="宋体"/>
          <w:b/>
          <w:bCs/>
          <w:color w:val="auto"/>
          <w:sz w:val="24"/>
          <w:szCs w:val="24"/>
          <w:highlight w:val="none"/>
          <w:lang w:val="zh-CN"/>
        </w:rPr>
      </w:pPr>
      <w:r>
        <w:rPr>
          <w:rFonts w:hint="eastAsia" w:ascii="宋体" w:hAnsi="宋体" w:eastAsia="Arial" w:cs="宋体"/>
          <w:b/>
          <w:bCs/>
          <w:color w:val="auto"/>
          <w:sz w:val="24"/>
          <w:szCs w:val="24"/>
          <w:highlight w:val="none"/>
          <w:lang w:val="zh-CN"/>
        </w:rPr>
        <w:t>（一）售后服务要求</w:t>
      </w:r>
    </w:p>
    <w:p w14:paraId="039BF409">
      <w:pPr>
        <w:autoSpaceDE w:val="0"/>
        <w:autoSpaceDN w:val="0"/>
        <w:adjustRightInd w:val="0"/>
        <w:snapToGrid w:val="0"/>
        <w:spacing w:line="360" w:lineRule="auto"/>
        <w:rPr>
          <w:rFonts w:hint="default" w:ascii="宋体" w:hAnsi="宋体" w:eastAsia="Arial" w:cs="宋体"/>
          <w:color w:val="auto"/>
          <w:sz w:val="24"/>
          <w:szCs w:val="24"/>
          <w:highlight w:val="none"/>
          <w:lang w:val="en-US" w:eastAsia="zh-CN"/>
        </w:rPr>
      </w:pPr>
      <w:r>
        <w:rPr>
          <w:rFonts w:hint="eastAsia" w:ascii="宋体" w:hAnsi="宋体" w:eastAsia="Arial" w:cs="宋体"/>
          <w:color w:val="auto"/>
          <w:sz w:val="24"/>
          <w:szCs w:val="24"/>
          <w:highlight w:val="none"/>
          <w:lang w:val="zh-CN" w:eastAsia="zh-CN"/>
        </w:rPr>
        <w:t>1.供应商所投货物必须为全新的、符合国家有关质量标准的产品；所供产品质量保证期为</w:t>
      </w:r>
      <w:r>
        <w:rPr>
          <w:rFonts w:hint="eastAsia" w:ascii="宋体" w:hAnsi="宋体" w:eastAsia="Arial" w:cs="宋体"/>
          <w:color w:val="auto"/>
          <w:sz w:val="24"/>
          <w:szCs w:val="24"/>
          <w:highlight w:val="none"/>
          <w:lang w:val="en-US" w:eastAsia="zh-CN"/>
        </w:rPr>
        <w:t>一</w:t>
      </w:r>
      <w:r>
        <w:rPr>
          <w:rFonts w:hint="eastAsia" w:ascii="宋体" w:hAnsi="宋体" w:eastAsia="Arial" w:cs="宋体"/>
          <w:color w:val="auto"/>
          <w:sz w:val="24"/>
          <w:szCs w:val="24"/>
          <w:highlight w:val="none"/>
          <w:lang w:val="zh-CN" w:eastAsia="zh-CN"/>
        </w:rPr>
        <w:t>年（相关标准大于</w:t>
      </w:r>
      <w:r>
        <w:rPr>
          <w:rFonts w:hint="eastAsia" w:ascii="宋体" w:hAnsi="宋体" w:eastAsia="Arial" w:cs="宋体"/>
          <w:color w:val="auto"/>
          <w:sz w:val="24"/>
          <w:szCs w:val="24"/>
          <w:highlight w:val="none"/>
          <w:lang w:val="en-US" w:eastAsia="zh-CN"/>
        </w:rPr>
        <w:t>一</w:t>
      </w:r>
      <w:r>
        <w:rPr>
          <w:rFonts w:hint="eastAsia" w:ascii="宋体" w:hAnsi="宋体" w:eastAsia="Arial" w:cs="宋体"/>
          <w:color w:val="auto"/>
          <w:sz w:val="24"/>
          <w:szCs w:val="24"/>
          <w:highlight w:val="none"/>
          <w:lang w:val="zh-CN" w:eastAsia="zh-CN"/>
        </w:rPr>
        <w:t>年的，按相关标准执行）。</w:t>
      </w:r>
      <w:r>
        <w:rPr>
          <w:rFonts w:hint="eastAsia" w:ascii="宋体" w:hAnsi="宋体" w:eastAsia="Arial" w:cs="宋体"/>
          <w:color w:val="auto"/>
          <w:sz w:val="24"/>
          <w:szCs w:val="24"/>
          <w:highlight w:val="none"/>
          <w:lang w:val="en-US" w:eastAsia="zh-CN"/>
        </w:rPr>
        <w:t>供货时需提供和开标时同一批次（编号）的货物或提供能证明和开标时参数及品质一致的检测报告等材料</w:t>
      </w:r>
      <w:r>
        <w:rPr>
          <w:rFonts w:hint="eastAsia" w:ascii="宋体" w:hAnsi="宋体" w:eastAsia="Arial" w:cs="宋体"/>
          <w:color w:val="auto"/>
          <w:sz w:val="24"/>
          <w:szCs w:val="24"/>
          <w:highlight w:val="none"/>
          <w:lang w:val="zh-CN" w:eastAsia="zh-CN"/>
        </w:rPr>
        <w:t>。</w:t>
      </w:r>
      <w:r>
        <w:rPr>
          <w:rFonts w:hint="eastAsia" w:ascii="宋体" w:hAnsi="宋体" w:eastAsia="Arial" w:cs="宋体"/>
          <w:color w:val="auto"/>
          <w:sz w:val="24"/>
          <w:szCs w:val="24"/>
          <w:highlight w:val="none"/>
          <w:lang w:val="en-US" w:eastAsia="zh-CN"/>
        </w:rPr>
        <w:tab/>
      </w:r>
    </w:p>
    <w:p w14:paraId="187B69F0">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2.质量保证期自采购人（或其授权代表）在验收报告上签署“验收合格”之日起计算；质量保证期内免费维修更换配件。</w:t>
      </w:r>
    </w:p>
    <w:p w14:paraId="6C9AD484">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3.在质量保证期内，供应商应常备所供货物的备品备件，接到故障通知后24小时响应免费维修或更换，由此发生的费用（非人为损坏）由成交供应商承担。质量保修期内所有货物保修服务方式均为成交供应商上门保修，即由成交供应商或原厂家派员到使用现场维修。由此产生的一切费用均由成交供应商承担。</w:t>
      </w:r>
    </w:p>
    <w:p w14:paraId="53146C2E">
      <w:pPr>
        <w:autoSpaceDE w:val="0"/>
        <w:autoSpaceDN w:val="0"/>
        <w:adjustRightInd w:val="0"/>
        <w:snapToGrid w:val="0"/>
        <w:spacing w:line="360" w:lineRule="auto"/>
        <w:rPr>
          <w:rFonts w:hint="eastAsia" w:ascii="宋体" w:hAnsi="宋体" w:cs="宋体"/>
          <w:b w:val="0"/>
          <w:bCs w:val="0"/>
          <w:color w:val="auto"/>
          <w:sz w:val="24"/>
          <w:szCs w:val="24"/>
          <w:highlight w:val="none"/>
          <w:lang w:val="zh-CN"/>
        </w:rPr>
      </w:pPr>
      <w:r>
        <w:rPr>
          <w:rFonts w:hint="eastAsia" w:ascii="宋体" w:hAnsi="宋体" w:cs="宋体"/>
          <w:b/>
          <w:bCs/>
          <w:color w:val="auto"/>
          <w:sz w:val="24"/>
          <w:szCs w:val="24"/>
          <w:highlight w:val="none"/>
          <w:lang w:val="zh-CN"/>
        </w:rPr>
        <w:t>（</w:t>
      </w:r>
      <w:r>
        <w:rPr>
          <w:rFonts w:hint="eastAsia" w:ascii="宋体" w:hAnsi="宋体" w:cs="宋体"/>
          <w:b/>
          <w:bCs/>
          <w:color w:val="auto"/>
          <w:sz w:val="24"/>
          <w:szCs w:val="24"/>
          <w:highlight w:val="none"/>
          <w:lang w:val="en-US" w:eastAsia="zh-CN"/>
        </w:rPr>
        <w:t>二</w:t>
      </w:r>
      <w:r>
        <w:rPr>
          <w:rFonts w:hint="eastAsia" w:ascii="宋体" w:hAnsi="宋体" w:cs="宋体"/>
          <w:b/>
          <w:bCs/>
          <w:color w:val="auto"/>
          <w:sz w:val="24"/>
          <w:szCs w:val="24"/>
          <w:highlight w:val="none"/>
          <w:lang w:val="zh-CN"/>
        </w:rPr>
        <w:t>）</w:t>
      </w:r>
      <w:r>
        <w:rPr>
          <w:rFonts w:hint="eastAsia" w:ascii="宋体" w:hAnsi="宋体" w:cs="宋体"/>
          <w:b/>
          <w:bCs/>
          <w:color w:val="auto"/>
          <w:sz w:val="24"/>
          <w:szCs w:val="24"/>
          <w:highlight w:val="none"/>
          <w:lang w:val="en-US" w:eastAsia="zh-CN"/>
        </w:rPr>
        <w:t>交货</w:t>
      </w:r>
      <w:r>
        <w:rPr>
          <w:rFonts w:hint="eastAsia" w:ascii="宋体" w:hAnsi="宋体" w:cs="宋体"/>
          <w:b/>
          <w:bCs/>
          <w:color w:val="auto"/>
          <w:sz w:val="24"/>
          <w:szCs w:val="24"/>
          <w:highlight w:val="none"/>
          <w:lang w:val="zh-CN"/>
        </w:rPr>
        <w:t>时间：</w:t>
      </w:r>
      <w:r>
        <w:rPr>
          <w:rFonts w:hint="eastAsia" w:ascii="宋体" w:hAnsi="宋体" w:cs="宋体"/>
          <w:b w:val="0"/>
          <w:bCs w:val="0"/>
          <w:color w:val="auto"/>
          <w:sz w:val="24"/>
          <w:szCs w:val="24"/>
          <w:highlight w:val="none"/>
          <w:lang w:val="en-US" w:eastAsia="zh-CN"/>
        </w:rPr>
        <w:t>接采购人供货通知</w:t>
      </w:r>
      <w:r>
        <w:rPr>
          <w:rFonts w:hint="eastAsia" w:ascii="宋体" w:hAnsi="宋体" w:cs="宋体"/>
          <w:b w:val="0"/>
          <w:bCs w:val="0"/>
          <w:color w:val="auto"/>
          <w:sz w:val="24"/>
          <w:szCs w:val="24"/>
          <w:highlight w:val="none"/>
          <w:lang w:val="zh-CN"/>
        </w:rPr>
        <w:t>后</w:t>
      </w:r>
      <w:r>
        <w:rPr>
          <w:rFonts w:hint="eastAsia" w:ascii="宋体" w:hAnsi="宋体" w:cs="宋体"/>
          <w:b w:val="0"/>
          <w:bCs w:val="0"/>
          <w:color w:val="auto"/>
          <w:sz w:val="24"/>
          <w:szCs w:val="24"/>
          <w:highlight w:val="none"/>
          <w:lang w:val="en-US" w:eastAsia="zh-CN"/>
        </w:rPr>
        <w:t>7</w:t>
      </w:r>
      <w:r>
        <w:rPr>
          <w:rFonts w:hint="eastAsia" w:ascii="宋体" w:hAnsi="宋体" w:cs="宋体"/>
          <w:b w:val="0"/>
          <w:bCs w:val="0"/>
          <w:color w:val="auto"/>
          <w:sz w:val="24"/>
          <w:szCs w:val="24"/>
          <w:highlight w:val="none"/>
          <w:lang w:val="zh-CN"/>
        </w:rPr>
        <w:t>天内</w:t>
      </w:r>
      <w:r>
        <w:rPr>
          <w:rFonts w:hint="eastAsia" w:ascii="宋体" w:hAnsi="宋体" w:cs="宋体"/>
          <w:b w:val="0"/>
          <w:bCs w:val="0"/>
          <w:color w:val="auto"/>
          <w:sz w:val="24"/>
          <w:szCs w:val="24"/>
          <w:highlight w:val="none"/>
          <w:lang w:val="en-US" w:eastAsia="zh-CN"/>
        </w:rPr>
        <w:t>交货完毕并验收合格，验收不合格的3个工作日要替换到位，每逾期一天将按中标金额的1%天扣除违约金。</w:t>
      </w:r>
    </w:p>
    <w:p w14:paraId="3D723D8D">
      <w:pPr>
        <w:autoSpaceDE w:val="0"/>
        <w:autoSpaceDN w:val="0"/>
        <w:adjustRightInd w:val="0"/>
        <w:snapToGrid w:val="0"/>
        <w:spacing w:line="360" w:lineRule="auto"/>
        <w:rPr>
          <w:rFonts w:hint="eastAsia" w:ascii="宋体" w:hAnsi="宋体" w:cs="宋体"/>
          <w:b w:val="0"/>
          <w:bCs w:val="0"/>
          <w:color w:val="auto"/>
          <w:sz w:val="24"/>
          <w:szCs w:val="24"/>
          <w:highlight w:val="none"/>
          <w:lang w:val="en-US" w:eastAsia="zh-CN"/>
        </w:rPr>
      </w:pPr>
      <w:r>
        <w:rPr>
          <w:rFonts w:hint="eastAsia" w:ascii="宋体" w:hAnsi="宋体" w:cs="宋体"/>
          <w:b/>
          <w:bCs/>
          <w:color w:val="auto"/>
          <w:sz w:val="24"/>
          <w:szCs w:val="24"/>
          <w:highlight w:val="none"/>
          <w:lang w:val="zh-CN"/>
        </w:rPr>
        <w:t>（</w:t>
      </w:r>
      <w:r>
        <w:rPr>
          <w:rFonts w:hint="eastAsia" w:ascii="宋体" w:hAnsi="宋体" w:cs="宋体"/>
          <w:b/>
          <w:bCs/>
          <w:color w:val="auto"/>
          <w:sz w:val="24"/>
          <w:szCs w:val="24"/>
          <w:highlight w:val="none"/>
          <w:lang w:val="en-US" w:eastAsia="zh-CN"/>
        </w:rPr>
        <w:t>三</w:t>
      </w:r>
      <w:r>
        <w:rPr>
          <w:rFonts w:hint="eastAsia" w:ascii="宋体" w:hAnsi="宋体" w:cs="宋体"/>
          <w:b/>
          <w:bCs/>
          <w:color w:val="auto"/>
          <w:sz w:val="24"/>
          <w:szCs w:val="24"/>
          <w:highlight w:val="none"/>
          <w:lang w:val="zh-CN"/>
        </w:rPr>
        <w:t>）付款方式：</w:t>
      </w:r>
      <w:r>
        <w:rPr>
          <w:rFonts w:hint="eastAsia" w:ascii="宋体" w:hAnsi="宋体" w:cs="宋体"/>
          <w:b w:val="0"/>
          <w:bCs w:val="0"/>
          <w:color w:val="auto"/>
          <w:sz w:val="24"/>
          <w:szCs w:val="24"/>
          <w:highlight w:val="none"/>
          <w:lang w:val="en-US" w:eastAsia="zh-CN"/>
        </w:rPr>
        <w:t xml:space="preserve">具体以实际发生量据实结算。结算周期每季度根据实际数量结算一次。（注：付款时，中标人按甲方财务付款支付流程办理，同时提供相应的增值税发票；中标人未提供发票税率不足的，招标单位有权扣除（足）相应率税点，且中标人应对提供的发票真实有效性负责）。 </w:t>
      </w:r>
    </w:p>
    <w:p w14:paraId="61649D28">
      <w:pPr>
        <w:autoSpaceDE w:val="0"/>
        <w:autoSpaceDN w:val="0"/>
        <w:adjustRightInd w:val="0"/>
        <w:snapToGrid w:val="0"/>
        <w:spacing w:line="360" w:lineRule="auto"/>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w:t>
      </w:r>
      <w:r>
        <w:rPr>
          <w:rFonts w:hint="eastAsia" w:ascii="宋体" w:hAnsi="宋体" w:cs="宋体"/>
          <w:b/>
          <w:bCs/>
          <w:color w:val="auto"/>
          <w:sz w:val="24"/>
          <w:szCs w:val="24"/>
          <w:highlight w:val="none"/>
          <w:lang w:val="en-US" w:eastAsia="zh-CN"/>
        </w:rPr>
        <w:t>四</w:t>
      </w:r>
      <w:r>
        <w:rPr>
          <w:rFonts w:hint="eastAsia" w:ascii="宋体" w:hAnsi="宋体" w:cs="宋体"/>
          <w:b/>
          <w:bCs/>
          <w:color w:val="auto"/>
          <w:sz w:val="24"/>
          <w:szCs w:val="24"/>
          <w:highlight w:val="none"/>
          <w:lang w:val="zh-CN"/>
        </w:rPr>
        <w:t>）交货包装</w:t>
      </w:r>
    </w:p>
    <w:p w14:paraId="0AC71E01">
      <w:pPr>
        <w:autoSpaceDE w:val="0"/>
        <w:autoSpaceDN w:val="0"/>
        <w:adjustRightInd w:val="0"/>
        <w:snapToGri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1.供应商提供的全部货物均应按标准保护措施进行包装，这类包装应适应于远距离运输、防潮、防震、防锈和防野蛮装卸，以确保货物安全无损运抵指定现场。由于包装不善所引起的货物锈蚀、损坏和损失均由供应商负责。</w:t>
      </w:r>
    </w:p>
    <w:p w14:paraId="032A3B79">
      <w:pPr>
        <w:autoSpaceDE w:val="0"/>
        <w:autoSpaceDN w:val="0"/>
        <w:adjustRightInd w:val="0"/>
        <w:snapToGri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2.供应商交货时，须提供设备的全部资料，如产品合格证、装箱单、使用说明书、易损件清单、备品备件清单、第三方检测报告、标准操作规程、维护保养规程等等。</w:t>
      </w:r>
    </w:p>
    <w:p w14:paraId="3FB8147E">
      <w:pPr>
        <w:autoSpaceDE w:val="0"/>
        <w:autoSpaceDN w:val="0"/>
        <w:adjustRightInd w:val="0"/>
        <w:snapToGri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3.供应商提供的全部货物所有附件必须都配备齐全，所供货设备外包箱注明用户信息，原厂设备完整，不得折封，以上参数如有不符直接退货。</w:t>
      </w:r>
    </w:p>
    <w:p w14:paraId="7A2F980B">
      <w:pPr>
        <w:autoSpaceDE w:val="0"/>
        <w:autoSpaceDN w:val="0"/>
        <w:adjustRightInd w:val="0"/>
        <w:snapToGrid w:val="0"/>
        <w:spacing w:line="360" w:lineRule="auto"/>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4.如果供应商没有按照合同规定或采购人同意延长的时间交货，每延期一天，按合同总金额的1</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lang w:val="zh-CN"/>
        </w:rPr>
        <w:t xml:space="preserve">交付违约金；如果供应商在达到最高限额（合同总额5%）后仍不能交付的，采购人可终止合同，因此产生的一切经济损失由供应商承担；因质量问题延期交付设备时，按延期交付产品处理。 </w:t>
      </w:r>
    </w:p>
    <w:p w14:paraId="3899BE15">
      <w:pPr>
        <w:autoSpaceDE w:val="0"/>
        <w:autoSpaceDN w:val="0"/>
        <w:adjustRightInd w:val="0"/>
        <w:snapToGrid w:val="0"/>
        <w:spacing w:line="360" w:lineRule="auto"/>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w:t>
      </w:r>
      <w:r>
        <w:rPr>
          <w:rFonts w:hint="eastAsia" w:ascii="宋体" w:hAnsi="宋体" w:cs="宋体"/>
          <w:b/>
          <w:bCs/>
          <w:color w:val="auto"/>
          <w:sz w:val="24"/>
          <w:szCs w:val="24"/>
          <w:highlight w:val="none"/>
          <w:lang w:val="en-US" w:eastAsia="zh-CN"/>
        </w:rPr>
        <w:t>五</w:t>
      </w:r>
      <w:r>
        <w:rPr>
          <w:rFonts w:hint="eastAsia" w:ascii="宋体" w:hAnsi="宋体" w:cs="宋体"/>
          <w:b/>
          <w:bCs/>
          <w:color w:val="auto"/>
          <w:sz w:val="24"/>
          <w:szCs w:val="24"/>
          <w:highlight w:val="none"/>
          <w:lang w:val="zh-CN"/>
        </w:rPr>
        <w:t>）安装、验收</w:t>
      </w:r>
    </w:p>
    <w:p w14:paraId="5F964C3D">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1.供应商在交货截止时间（或采购方规定的时间）内交货，有关运输和保险的一切费用由供应商承担。所有货物运抵现场并验收合格后的日期为交货日期。</w:t>
      </w:r>
    </w:p>
    <w:p w14:paraId="50B0ED1F">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2.货物到现场后，采购人（或其授权代表）、供应商组织相关人员共同对到货货物的数量、外观、包装质量、技术资料等进行</w:t>
      </w:r>
      <w:r>
        <w:rPr>
          <w:rFonts w:hint="eastAsia" w:ascii="宋体" w:hAnsi="宋体" w:eastAsia="Arial" w:cs="宋体"/>
          <w:color w:val="auto"/>
          <w:sz w:val="24"/>
          <w:szCs w:val="24"/>
          <w:highlight w:val="none"/>
          <w:lang w:val="en-US" w:eastAsia="zh-CN"/>
        </w:rPr>
        <w:t>确认</w:t>
      </w:r>
      <w:r>
        <w:rPr>
          <w:rFonts w:hint="eastAsia" w:ascii="宋体" w:hAnsi="宋体" w:eastAsia="Arial" w:cs="宋体"/>
          <w:color w:val="auto"/>
          <w:sz w:val="24"/>
          <w:szCs w:val="24"/>
          <w:highlight w:val="none"/>
          <w:lang w:val="zh-CN"/>
        </w:rPr>
        <w:t xml:space="preserve">； </w:t>
      </w:r>
    </w:p>
    <w:p w14:paraId="384746A5">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3.货物供货完成以后，在7个工作日内由采购人或组织技术专家或委托第三方专业机构对货物依照谈判文件上的技术规格要求、以及国家有关标准进行验收；货物性能达到技术要求的，给予</w:t>
      </w:r>
      <w:r>
        <w:rPr>
          <w:rFonts w:hint="eastAsia" w:ascii="宋体" w:hAnsi="宋体" w:eastAsia="Arial" w:cs="宋体"/>
          <w:color w:val="auto"/>
          <w:sz w:val="24"/>
          <w:szCs w:val="24"/>
          <w:highlight w:val="none"/>
          <w:lang w:val="en-US" w:eastAsia="zh-CN"/>
        </w:rPr>
        <w:t>验收通过</w:t>
      </w:r>
      <w:r>
        <w:rPr>
          <w:rFonts w:hint="eastAsia" w:ascii="宋体" w:hAnsi="宋体" w:eastAsia="Arial" w:cs="宋体"/>
          <w:color w:val="auto"/>
          <w:sz w:val="24"/>
          <w:szCs w:val="24"/>
          <w:highlight w:val="none"/>
          <w:lang w:val="zh-CN"/>
        </w:rPr>
        <w:t>；验收合格后由采购人（或其授权代表）签署确认验收合格文件（一式四份）；全部技术资料等应当在验收合格后移交用户单位（业主）。验收时如发现货物的质量、性能不符合采购文件规定标准的，本项目采购人有权在货物验收时予以拒收；因此产生的一切经济损失由供应商承担；</w:t>
      </w:r>
    </w:p>
    <w:p w14:paraId="7AB5FB3F">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4.交付验收标准：依次序对照适用标准为：</w:t>
      </w:r>
    </w:p>
    <w:p w14:paraId="00C8A056">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①符合中华人民共和国国家安全质量标准、环保标准或行业标准；</w:t>
      </w:r>
    </w:p>
    <w:p w14:paraId="5FA6E8F5">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②符合谈判文件和投标承诺中采购人认可的合理最佳配置、参数及各项要求；</w:t>
      </w:r>
    </w:p>
    <w:p w14:paraId="4B71C8B3">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③货物来源国官方标准。</w:t>
      </w:r>
    </w:p>
    <w:p w14:paraId="4FA25A77">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上述标准必须是有关官方机构发布的最新版本的标准；</w:t>
      </w:r>
    </w:p>
    <w:p w14:paraId="02E8F8C9">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5.供应商须为验收提供必需的设备、工具及其他便利条件；</w:t>
      </w:r>
    </w:p>
    <w:p w14:paraId="71AA7ED1">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6.在验收过程中发现数量不足或有质量、技术等问题，供应商应负责按照采购人的要求采取补足、更换或退货等措施妥善处理，并承担由此发生的一切费用和损失；</w:t>
      </w:r>
    </w:p>
    <w:p w14:paraId="5160B952">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7.对于不合格的货物，供应商必须在7个工作日里及时完成更换并重新对更换货物进行验收。</w:t>
      </w:r>
    </w:p>
    <w:p w14:paraId="4627332D">
      <w:pPr>
        <w:keepNext w:val="0"/>
        <w:keepLines w:val="0"/>
        <w:pageBreakBefore w:val="0"/>
        <w:widowControl w:val="0"/>
        <w:kinsoku/>
        <w:wordWrap/>
        <w:overflowPunct/>
        <w:topLinePunct w:val="0"/>
        <w:autoSpaceDE w:val="0"/>
        <w:autoSpaceDN w:val="0"/>
        <w:bidi w:val="0"/>
        <w:adjustRightInd w:val="0"/>
        <w:snapToGrid w:val="0"/>
        <w:spacing w:line="400" w:lineRule="exact"/>
        <w:textAlignment w:val="auto"/>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w:t>
      </w:r>
      <w:r>
        <w:rPr>
          <w:rFonts w:hint="eastAsia" w:ascii="宋体" w:hAnsi="宋体" w:cs="宋体"/>
          <w:b/>
          <w:bCs/>
          <w:color w:val="auto"/>
          <w:sz w:val="24"/>
          <w:szCs w:val="24"/>
          <w:highlight w:val="none"/>
          <w:lang w:val="en-US" w:eastAsia="zh-CN"/>
        </w:rPr>
        <w:t>六</w:t>
      </w:r>
      <w:r>
        <w:rPr>
          <w:rFonts w:hint="eastAsia" w:ascii="宋体" w:hAnsi="宋体" w:cs="宋体"/>
          <w:b/>
          <w:bCs/>
          <w:color w:val="auto"/>
          <w:sz w:val="24"/>
          <w:szCs w:val="24"/>
          <w:highlight w:val="none"/>
          <w:lang w:val="zh-CN"/>
        </w:rPr>
        <w:t>）其它要求</w:t>
      </w:r>
    </w:p>
    <w:p w14:paraId="374EF7A3">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1、供应商应该认真咨询、实地勘察，了解标的现状，并仔细阅读本次招标所提供的相关资料及特别规定。供应商参加投标，即表明供应商对标的的情况和特别规定的认可，投标成功后不得以未咨询或对标的不了解而提出异议或反悔。</w:t>
      </w:r>
    </w:p>
    <w:p w14:paraId="5C954943">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2、成交供应商应保证采购人在中华人民共和国使用成交供应商所提供的货物或货物的任何一部分时，免受第三方提出的侵犯其专利权、商标权的起诉；如果任何第三方提出侵权指控，成交供应商承担一切与之有关的责任。</w:t>
      </w:r>
    </w:p>
    <w:p w14:paraId="725EC22F">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3、成交供应商在履行合同时，应按照民法典用工，若出现员工不符合办理“五项保险”条件时，成交供应商应给予上述员工办理有关“商业保险中的意外伤害险”，且意外伤害险所赔付的保额不得低于当期工伤保险的赔付额。</w:t>
      </w:r>
    </w:p>
    <w:p w14:paraId="5FF0FC66">
      <w:pPr>
        <w:autoSpaceDE w:val="0"/>
        <w:autoSpaceDN w:val="0"/>
        <w:adjustRightInd w:val="0"/>
        <w:snapToGrid w:val="0"/>
        <w:spacing w:line="360" w:lineRule="auto"/>
        <w:rPr>
          <w:rFonts w:hint="eastAsia" w:ascii="宋体" w:hAnsi="宋体" w:eastAsia="Arial" w:cs="宋体"/>
          <w:color w:val="auto"/>
          <w:sz w:val="24"/>
          <w:szCs w:val="24"/>
          <w:highlight w:val="none"/>
          <w:lang w:val="zh-CN"/>
        </w:rPr>
      </w:pPr>
      <w:r>
        <w:rPr>
          <w:rFonts w:hint="eastAsia" w:ascii="宋体" w:hAnsi="宋体" w:eastAsia="Arial" w:cs="宋体"/>
          <w:color w:val="auto"/>
          <w:sz w:val="24"/>
          <w:szCs w:val="24"/>
          <w:highlight w:val="none"/>
          <w:lang w:val="zh-CN"/>
        </w:rPr>
        <w:t>4、成交供应商在履行合同期间，应对成交供应商（或其雇佣人员）的疏忽、故意或过失而造成采购人的直接或间接损失、第三者的财产损失及安全责任事故等负责，并承担相应费用。</w:t>
      </w:r>
    </w:p>
    <w:p w14:paraId="5769441A">
      <w:pPr>
        <w:widowControl/>
        <w:shd w:val="clear" w:color="auto" w:fill="auto"/>
        <w:snapToGrid w:val="0"/>
        <w:spacing w:line="336" w:lineRule="auto"/>
        <w:outlineLvl w:val="9"/>
        <w:rPr>
          <w:rFonts w:hint="eastAsia" w:asciiTheme="minorEastAsia" w:hAnsiTheme="minorEastAsia" w:eastAsiaTheme="minorEastAsia" w:cstheme="minorEastAsia"/>
          <w:sz w:val="24"/>
          <w:szCs w:val="24"/>
          <w:lang w:val="en-US" w:eastAsia="zh-CN"/>
        </w:rPr>
      </w:pPr>
      <w:r>
        <w:rPr>
          <w:rFonts w:hint="eastAsia" w:ascii="宋体" w:hAnsi="宋体" w:eastAsia="Arial" w:cs="宋体"/>
          <w:color w:val="auto"/>
          <w:sz w:val="24"/>
          <w:szCs w:val="24"/>
          <w:highlight w:val="none"/>
          <w:lang w:val="zh-CN"/>
        </w:rPr>
        <w:t>5、其他未尽事宜可在合同中约定</w:t>
      </w:r>
      <w:r>
        <w:rPr>
          <w:rFonts w:hint="eastAsia" w:ascii="宋体" w:hAnsi="宋体" w:eastAsia="Arial" w:cs="宋体"/>
          <w:color w:val="auto"/>
          <w:sz w:val="24"/>
          <w:szCs w:val="24"/>
          <w:highlight w:val="none"/>
          <w:lang w:val="zh-CN" w:eastAsia="zh-CN"/>
        </w:rPr>
        <w:t>。</w:t>
      </w:r>
    </w:p>
    <w:sectPr>
      <w:headerReference r:id="rId3" w:type="default"/>
      <w:footerReference r:id="rId4" w:type="default"/>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6D1D4">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9376C41">
                          <w:pPr>
                            <w:pStyle w:val="10"/>
                            <w:jc w:val="center"/>
                          </w:pPr>
                          <w:r>
                            <w:fldChar w:fldCharType="begin"/>
                          </w:r>
                          <w:r>
                            <w:instrText xml:space="preserve"> PAGE   \* MERGEFORMAT </w:instrText>
                          </w:r>
                          <w:r>
                            <w:fldChar w:fldCharType="separate"/>
                          </w:r>
                          <w:r>
                            <w:rPr>
                              <w:lang w:val="zh-CN"/>
                            </w:rPr>
                            <w:t>20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39376C41">
                    <w:pPr>
                      <w:pStyle w:val="10"/>
                      <w:jc w:val="center"/>
                    </w:pPr>
                    <w:r>
                      <w:fldChar w:fldCharType="begin"/>
                    </w:r>
                    <w:r>
                      <w:instrText xml:space="preserve"> PAGE   \* MERGEFORMAT </w:instrText>
                    </w:r>
                    <w:r>
                      <w:fldChar w:fldCharType="separate"/>
                    </w:r>
                    <w:r>
                      <w:rPr>
                        <w:lang w:val="zh-CN"/>
                      </w:rPr>
                      <w:t>20</w:t>
                    </w:r>
                    <w:r>
                      <w:fldChar w:fldCharType="end"/>
                    </w:r>
                  </w:p>
                </w:txbxContent>
              </v:textbox>
            </v:shape>
          </w:pict>
        </mc:Fallback>
      </mc:AlternateContent>
    </w:r>
  </w:p>
  <w:p w14:paraId="55E1DFEA">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1D05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4D30ED"/>
    <w:multiLevelType w:val="singleLevel"/>
    <w:tmpl w:val="E04D30ED"/>
    <w:lvl w:ilvl="0" w:tentative="0">
      <w:start w:val="1"/>
      <w:numFmt w:val="decimal"/>
      <w:lvlText w:val="%1."/>
      <w:lvlJc w:val="left"/>
      <w:pPr>
        <w:tabs>
          <w:tab w:val="left" w:pos="312"/>
        </w:tabs>
      </w:pPr>
    </w:lvl>
  </w:abstractNum>
  <w:abstractNum w:abstractNumId="1">
    <w:nsid w:val="45CFCCDF"/>
    <w:multiLevelType w:val="singleLevel"/>
    <w:tmpl w:val="45CFCCDF"/>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4MGVkYTg5OTA5N2I0MjFiMjAzYzIyZmRhNzRjZGMifQ=="/>
    <w:docVar w:name="KSO_WPS_MARK_KEY" w:val="b7f6a430-581b-4d6d-90ac-c0fdf6c69b99"/>
  </w:docVars>
  <w:rsids>
    <w:rsidRoot w:val="00000000"/>
    <w:rsid w:val="014D36CD"/>
    <w:rsid w:val="02657F3A"/>
    <w:rsid w:val="032D1C8B"/>
    <w:rsid w:val="050470AD"/>
    <w:rsid w:val="0795269C"/>
    <w:rsid w:val="07EE3A43"/>
    <w:rsid w:val="0893749F"/>
    <w:rsid w:val="092811AA"/>
    <w:rsid w:val="096F51F2"/>
    <w:rsid w:val="0CBD21BF"/>
    <w:rsid w:val="0EA224A6"/>
    <w:rsid w:val="0F0D5446"/>
    <w:rsid w:val="0FCD24DF"/>
    <w:rsid w:val="10442DF5"/>
    <w:rsid w:val="13F84916"/>
    <w:rsid w:val="19193C38"/>
    <w:rsid w:val="1E1B1B53"/>
    <w:rsid w:val="1EE74B73"/>
    <w:rsid w:val="25D32EFB"/>
    <w:rsid w:val="268D3316"/>
    <w:rsid w:val="2C8671CD"/>
    <w:rsid w:val="2D3947C7"/>
    <w:rsid w:val="2F20249B"/>
    <w:rsid w:val="2FB3086B"/>
    <w:rsid w:val="30EA7B6C"/>
    <w:rsid w:val="31070FF1"/>
    <w:rsid w:val="36B716C1"/>
    <w:rsid w:val="3AAA0541"/>
    <w:rsid w:val="3D790266"/>
    <w:rsid w:val="3FEB552D"/>
    <w:rsid w:val="407C5A02"/>
    <w:rsid w:val="44694A5B"/>
    <w:rsid w:val="483242B2"/>
    <w:rsid w:val="487D7CB7"/>
    <w:rsid w:val="4EFE25A7"/>
    <w:rsid w:val="50F7359B"/>
    <w:rsid w:val="52EE34C1"/>
    <w:rsid w:val="55574BE5"/>
    <w:rsid w:val="582241C7"/>
    <w:rsid w:val="5BE31546"/>
    <w:rsid w:val="5D064542"/>
    <w:rsid w:val="5FDD6CEA"/>
    <w:rsid w:val="618D1EA5"/>
    <w:rsid w:val="61C96577"/>
    <w:rsid w:val="62266F07"/>
    <w:rsid w:val="64452161"/>
    <w:rsid w:val="68D0643D"/>
    <w:rsid w:val="69540E1C"/>
    <w:rsid w:val="6C1264F8"/>
    <w:rsid w:val="6EBE002F"/>
    <w:rsid w:val="6FAAD493"/>
    <w:rsid w:val="70433DC9"/>
    <w:rsid w:val="71816E6E"/>
    <w:rsid w:val="72250A97"/>
    <w:rsid w:val="74804B33"/>
    <w:rsid w:val="75F10669"/>
    <w:rsid w:val="788543C8"/>
    <w:rsid w:val="78F56DDC"/>
    <w:rsid w:val="7BDA78A7"/>
    <w:rsid w:val="7F670A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outlineLvl w:val="0"/>
    </w:pPr>
    <w:rPr>
      <w:rFonts w:ascii="宋体"/>
      <w:sz w:val="28"/>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bCs/>
      <w:sz w:val="32"/>
      <w:szCs w:val="32"/>
    </w:rPr>
  </w:style>
  <w:style w:type="paragraph" w:styleId="4">
    <w:name w:val="heading 8"/>
    <w:basedOn w:val="1"/>
    <w:next w:val="1"/>
    <w:qFormat/>
    <w:uiPriority w:val="0"/>
    <w:pPr>
      <w:keepNext/>
      <w:keepLines/>
      <w:spacing w:before="240" w:after="64" w:line="320" w:lineRule="auto"/>
      <w:outlineLvl w:val="7"/>
    </w:pPr>
    <w:rPr>
      <w:rFonts w:ascii="Arial" w:hAnsi="Arial" w:eastAsia="黑体"/>
      <w:kern w:val="0"/>
      <w:sz w:val="24"/>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99"/>
    <w:pPr>
      <w:spacing w:after="120"/>
    </w:pPr>
  </w:style>
  <w:style w:type="paragraph" w:styleId="7">
    <w:name w:val="Body Text Indent"/>
    <w:basedOn w:val="1"/>
    <w:next w:val="8"/>
    <w:qFormat/>
    <w:uiPriority w:val="0"/>
    <w:pPr>
      <w:autoSpaceDE w:val="0"/>
      <w:autoSpaceDN w:val="0"/>
      <w:adjustRightInd w:val="0"/>
      <w:spacing w:line="360" w:lineRule="auto"/>
      <w:ind w:firstLine="480"/>
      <w:jc w:val="left"/>
    </w:pPr>
    <w:rPr>
      <w:rFonts w:ascii="宋体" w:hAnsi="宋体"/>
      <w:kern w:val="0"/>
      <w:sz w:val="24"/>
    </w:rPr>
  </w:style>
  <w:style w:type="paragraph" w:styleId="8">
    <w:name w:val="Body Text Indent 2"/>
    <w:basedOn w:val="1"/>
    <w:qFormat/>
    <w:uiPriority w:val="0"/>
    <w:pPr>
      <w:spacing w:line="312" w:lineRule="auto"/>
      <w:ind w:firstLine="480" w:firstLineChars="200"/>
    </w:pPr>
    <w:rPr>
      <w:sz w:val="24"/>
    </w:rPr>
  </w:style>
  <w:style w:type="paragraph" w:styleId="9">
    <w:name w:val="Plain Text"/>
    <w:basedOn w:val="1"/>
    <w:qFormat/>
    <w:uiPriority w:val="99"/>
    <w:rPr>
      <w:rFonts w:ascii="宋体" w:hAnsi="Courier New"/>
      <w:szCs w:val="21"/>
    </w:rPr>
  </w:style>
  <w:style w:type="paragraph" w:styleId="10">
    <w:name w:val="footer"/>
    <w:basedOn w:val="1"/>
    <w:qFormat/>
    <w:uiPriority w:val="99"/>
    <w:pPr>
      <w:tabs>
        <w:tab w:val="center" w:pos="4153"/>
        <w:tab w:val="right" w:pos="8306"/>
      </w:tabs>
      <w:snapToGrid w:val="0"/>
      <w:jc w:val="left"/>
    </w:pPr>
    <w:rPr>
      <w:sz w:val="18"/>
    </w:rPr>
  </w:style>
  <w:style w:type="paragraph" w:styleId="11">
    <w:name w:val="envelope return"/>
    <w:basedOn w:val="1"/>
    <w:qFormat/>
    <w:uiPriority w:val="99"/>
    <w:pPr>
      <w:snapToGrid w:val="0"/>
    </w:pPr>
    <w:rPr>
      <w:rFonts w:ascii="Arial" w:hAnsi="Arial"/>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13">
    <w:name w:val="toc 1"/>
    <w:basedOn w:val="1"/>
    <w:next w:val="1"/>
    <w:qFormat/>
    <w:uiPriority w:val="0"/>
    <w:pPr>
      <w:tabs>
        <w:tab w:val="right" w:leader="dot" w:pos="10070"/>
      </w:tabs>
      <w:spacing w:line="840" w:lineRule="exact"/>
      <w:ind w:left="1152" w:hanging="1152" w:hangingChars="360"/>
    </w:pPr>
  </w:style>
  <w:style w:type="paragraph" w:styleId="14">
    <w:name w:val="toc 2"/>
    <w:basedOn w:val="1"/>
    <w:next w:val="1"/>
    <w:qFormat/>
    <w:uiPriority w:val="39"/>
    <w:pPr>
      <w:tabs>
        <w:tab w:val="right" w:leader="dot" w:pos="9629"/>
      </w:tabs>
    </w:pPr>
  </w:style>
  <w:style w:type="paragraph" w:styleId="15">
    <w:name w:val="Normal (Web)"/>
    <w:basedOn w:val="1"/>
    <w:next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next w:val="1"/>
    <w:qFormat/>
    <w:uiPriority w:val="99"/>
    <w:pPr>
      <w:spacing w:line="640" w:lineRule="atLeast"/>
      <w:jc w:val="center"/>
    </w:pPr>
    <w:rPr>
      <w:rFonts w:ascii="Arial" w:hAnsi="Arial" w:eastAsia="方正小标宋_GBK" w:cs="Arial"/>
      <w:bCs/>
      <w:szCs w:val="32"/>
    </w:rPr>
  </w:style>
  <w:style w:type="paragraph" w:styleId="17">
    <w:name w:val="Body Text First Indent"/>
    <w:basedOn w:val="6"/>
    <w:qFormat/>
    <w:uiPriority w:val="0"/>
    <w:pPr>
      <w:ind w:firstLine="420" w:firstLineChars="100"/>
    </w:pPr>
  </w:style>
  <w:style w:type="paragraph" w:styleId="18">
    <w:name w:val="Body Text First Indent 2"/>
    <w:basedOn w:val="7"/>
    <w:qFormat/>
    <w:uiPriority w:val="0"/>
    <w:pPr>
      <w:autoSpaceDE/>
      <w:autoSpaceDN/>
      <w:adjustRightInd/>
      <w:spacing w:after="120" w:line="240" w:lineRule="auto"/>
      <w:ind w:left="420" w:leftChars="200" w:firstLine="420" w:firstLineChars="200"/>
      <w:jc w:val="both"/>
    </w:pPr>
    <w:rPr>
      <w:rFonts w:ascii="Times New Roman" w:hAnsi="Times New Roman"/>
      <w:kern w:val="2"/>
      <w:sz w:val="21"/>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rPr>
  </w:style>
  <w:style w:type="paragraph" w:customStyle="1" w:styleId="23">
    <w:name w:val="正文缩进1"/>
    <w:basedOn w:val="1"/>
    <w:qFormat/>
    <w:uiPriority w:val="0"/>
    <w:pPr>
      <w:ind w:firstLine="200" w:firstLineChars="200"/>
    </w:pPr>
    <w:rPr>
      <w:szCs w:val="24"/>
    </w:rPr>
  </w:style>
  <w:style w:type="paragraph" w:customStyle="1" w:styleId="24">
    <w:name w:val="UserStyle_0"/>
    <w:basedOn w:val="1"/>
    <w:qFormat/>
    <w:uiPriority w:val="0"/>
    <w:pPr>
      <w:ind w:left="482" w:firstLine="200" w:firstLineChars="200"/>
      <w:textAlignment w:val="baseline"/>
    </w:pPr>
  </w:style>
  <w:style w:type="paragraph" w:customStyle="1" w:styleId="25">
    <w:name w:val="正文 New"/>
    <w:qFormat/>
    <w:uiPriority w:val="0"/>
    <w:pPr>
      <w:widowControl w:val="0"/>
      <w:jc w:val="both"/>
    </w:pPr>
    <w:rPr>
      <w:rFonts w:ascii="Calibri" w:hAnsi="Calibri" w:eastAsia="宋体" w:cs="黑体"/>
      <w:kern w:val="2"/>
      <w:sz w:val="21"/>
      <w:szCs w:val="24"/>
      <w:lang w:val="en-US" w:eastAsia="zh-CN" w:bidi="ar-SA"/>
    </w:rPr>
  </w:style>
  <w:style w:type="paragraph" w:customStyle="1" w:styleId="26">
    <w:name w:val="Table Paragraph"/>
    <w:basedOn w:val="1"/>
    <w:qFormat/>
    <w:uiPriority w:val="1"/>
  </w:style>
  <w:style w:type="paragraph" w:customStyle="1" w:styleId="27">
    <w:name w:val="Body text|1"/>
    <w:basedOn w:val="1"/>
    <w:qFormat/>
    <w:uiPriority w:val="0"/>
    <w:pPr>
      <w:spacing w:line="403" w:lineRule="auto"/>
    </w:pPr>
    <w:rPr>
      <w:rFonts w:ascii="宋体" w:hAnsi="宋体" w:cs="宋体"/>
      <w:sz w:val="20"/>
      <w:lang w:val="zh-TW" w:eastAsia="zh-TW" w:bidi="zh-TW"/>
    </w:rPr>
  </w:style>
  <w:style w:type="table" w:customStyle="1" w:styleId="28">
    <w:name w:val="Table Normal"/>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paragraph" w:customStyle="1" w:styleId="29">
    <w:name w:val="Heading 6"/>
    <w:basedOn w:val="1"/>
    <w:qFormat/>
    <w:uiPriority w:val="1"/>
    <w:pPr>
      <w:spacing w:before="14"/>
      <w:jc w:val="left"/>
      <w:outlineLvl w:val="6"/>
    </w:pPr>
    <w:rPr>
      <w:rFonts w:ascii="宋体" w:hAnsi="宋体"/>
      <w:kern w:val="0"/>
      <w:sz w:val="28"/>
      <w:szCs w:val="28"/>
      <w:lang w:eastAsia="en-US"/>
    </w:rPr>
  </w:style>
  <w:style w:type="paragraph" w:customStyle="1" w:styleId="30">
    <w:name w:val="PlainText"/>
    <w:basedOn w:val="1"/>
    <w:qFormat/>
    <w:uiPriority w:val="0"/>
    <w:pPr>
      <w:jc w:val="both"/>
      <w:textAlignment w:val="baseline"/>
    </w:pPr>
    <w:rPr>
      <w:rFonts w:ascii="宋体" w:hAnsi="Courier New"/>
      <w:kern w:val="2"/>
      <w:sz w:val="21"/>
      <w:szCs w:val="24"/>
      <w:lang w:val="en-US" w:eastAsia="zh-CN" w:bidi="ar-SA"/>
    </w:rPr>
  </w:style>
  <w:style w:type="paragraph" w:customStyle="1" w:styleId="31">
    <w:name w:val="纯文本1"/>
    <w:basedOn w:val="1"/>
    <w:qFormat/>
    <w:uiPriority w:val="99"/>
    <w:rPr>
      <w:rFonts w:ascii="宋体" w:hAnsi="Courier New"/>
      <w:kern w:val="0"/>
      <w:sz w:val="20"/>
    </w:rPr>
  </w:style>
  <w:style w:type="paragraph" w:customStyle="1" w:styleId="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3">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3449</Words>
  <Characters>4163</Characters>
  <Lines>0</Lines>
  <Paragraphs>0</Paragraphs>
  <TotalTime>0</TotalTime>
  <ScaleCrop>false</ScaleCrop>
  <LinksUpToDate>false</LinksUpToDate>
  <CharactersWithSpaces>4272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2023-10-08T02:25:00Z</dcterms:created>
  <dc:creator>吴国锋</dc:creator>
  <cp:lastModifiedBy>Clytze</cp:lastModifiedBy>
  <cp:lastPrinted>2025-04-03T06:59:00Z</cp:lastPrinted>
  <dcterms:modified xsi:type="dcterms:W3CDTF">2026-08-17T01:35:15Z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FD3B64EECBCA4925A3278F394BF2911B_13</vt:lpwstr>
  </property>
  <property fmtid="{D5CDD505-2E9C-101B-9397-08002B2CF9AE}" pid="4" name="KSOTemplateDocerSaveRecord">
    <vt:lpwstr>eyJoZGlkIjoiYzI4NDlmMDhjNjE5NThkMzI5YzUwOTM0OTg3YzQ1ZDEiLCJ1c2VySWQiOiIyODAzMzM3OTUifQ==</vt:lpwstr>
  </property>
</Properties>
</file>